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AA7" w:rsidRDefault="00AD7AA7" w:rsidP="00AD7AA7">
      <w:pPr>
        <w:adjustRightInd w:val="0"/>
        <w:snapToGrid w:val="0"/>
        <w:spacing w:line="360" w:lineRule="auto"/>
        <w:jc w:val="center"/>
        <w:rPr>
          <w:rFonts w:eastAsiaTheme="minorEastAsia"/>
          <w:b/>
          <w:sz w:val="30"/>
          <w:szCs w:val="30"/>
        </w:rPr>
      </w:pPr>
      <w:r>
        <w:rPr>
          <w:rFonts w:eastAsiaTheme="minorEastAsia"/>
          <w:b/>
          <w:sz w:val="30"/>
          <w:szCs w:val="30"/>
        </w:rPr>
        <w:t>云南煤化工集团有限公司</w:t>
      </w:r>
    </w:p>
    <w:p w:rsidR="00AD7AA7" w:rsidRDefault="00AD7AA7" w:rsidP="00AD7AA7">
      <w:pPr>
        <w:adjustRightInd w:val="0"/>
        <w:snapToGrid w:val="0"/>
        <w:spacing w:line="360" w:lineRule="auto"/>
        <w:jc w:val="center"/>
        <w:rPr>
          <w:rFonts w:eastAsiaTheme="minorEastAsia"/>
          <w:b/>
          <w:sz w:val="30"/>
          <w:szCs w:val="30"/>
        </w:rPr>
      </w:pPr>
      <w:r>
        <w:rPr>
          <w:rFonts w:eastAsiaTheme="minorEastAsia"/>
          <w:b/>
          <w:sz w:val="30"/>
          <w:szCs w:val="30"/>
        </w:rPr>
        <w:t>拟处置资产所涉及的不动产及设备资产</w:t>
      </w:r>
    </w:p>
    <w:p w:rsidR="00AD7AA7" w:rsidRDefault="00AD7AA7" w:rsidP="00AD7AA7">
      <w:pPr>
        <w:adjustRightInd w:val="0"/>
        <w:snapToGrid w:val="0"/>
        <w:spacing w:line="360" w:lineRule="auto"/>
        <w:jc w:val="center"/>
        <w:rPr>
          <w:rFonts w:eastAsiaTheme="minorEastAsia"/>
          <w:b/>
          <w:sz w:val="30"/>
          <w:szCs w:val="30"/>
        </w:rPr>
      </w:pPr>
      <w:r>
        <w:rPr>
          <w:rFonts w:eastAsiaTheme="minorEastAsia"/>
          <w:b/>
          <w:sz w:val="30"/>
          <w:szCs w:val="30"/>
        </w:rPr>
        <w:t>评估项目</w:t>
      </w:r>
    </w:p>
    <w:p w:rsidR="00AD7AA7" w:rsidRDefault="00AD7AA7" w:rsidP="00AD7AA7">
      <w:pPr>
        <w:pStyle w:val="2"/>
        <w:snapToGrid w:val="0"/>
        <w:spacing w:before="0" w:after="0" w:line="360" w:lineRule="auto"/>
        <w:ind w:firstLine="0"/>
        <w:jc w:val="center"/>
        <w:textAlignment w:val="auto"/>
        <w:rPr>
          <w:rStyle w:val="1Char"/>
          <w:rFonts w:eastAsiaTheme="minorEastAsia"/>
          <w:b/>
        </w:rPr>
      </w:pPr>
      <w:bookmarkStart w:id="0" w:name="_Toc17876"/>
      <w:r>
        <w:rPr>
          <w:rStyle w:val="1Char"/>
          <w:rFonts w:eastAsiaTheme="minorEastAsia"/>
        </w:rPr>
        <w:t>资产评估报告摘要</w:t>
      </w:r>
      <w:bookmarkEnd w:id="0"/>
    </w:p>
    <w:p w:rsidR="00AD7AA7" w:rsidRDefault="00AD7AA7" w:rsidP="00AD7AA7">
      <w:pPr>
        <w:adjustRightInd w:val="0"/>
        <w:snapToGrid w:val="0"/>
        <w:spacing w:before="60" w:after="60" w:line="360" w:lineRule="auto"/>
        <w:jc w:val="center"/>
        <w:rPr>
          <w:rFonts w:eastAsiaTheme="minorEastAsia"/>
          <w:b/>
          <w:spacing w:val="20"/>
        </w:rPr>
      </w:pPr>
      <w:r>
        <w:rPr>
          <w:rFonts w:eastAsiaTheme="minorEastAsia"/>
        </w:rPr>
        <w:t>天兴评报字（</w:t>
      </w:r>
      <w:r>
        <w:rPr>
          <w:rFonts w:eastAsiaTheme="minorEastAsia"/>
        </w:rPr>
        <w:t>2019</w:t>
      </w:r>
      <w:r>
        <w:rPr>
          <w:rFonts w:eastAsiaTheme="minorEastAsia"/>
        </w:rPr>
        <w:t>）第</w:t>
      </w:r>
      <w:r>
        <w:rPr>
          <w:rFonts w:eastAsiaTheme="minorEastAsia"/>
        </w:rPr>
        <w:t>1370</w:t>
      </w:r>
      <w:r>
        <w:rPr>
          <w:rFonts w:eastAsiaTheme="minorEastAsia"/>
        </w:rPr>
        <w:t>号</w:t>
      </w:r>
    </w:p>
    <w:p w:rsidR="00AD7AA7" w:rsidRDefault="00AD7AA7" w:rsidP="00AD7AA7">
      <w:pPr>
        <w:pStyle w:val="a3"/>
        <w:snapToGrid w:val="0"/>
        <w:spacing w:line="360" w:lineRule="auto"/>
        <w:ind w:firstLineChars="200"/>
        <w:rPr>
          <w:rFonts w:eastAsiaTheme="minorEastAsia"/>
          <w:szCs w:val="24"/>
        </w:rPr>
      </w:pPr>
      <w:r>
        <w:rPr>
          <w:rFonts w:ascii="Times New Roman" w:eastAsiaTheme="minorEastAsia"/>
          <w:szCs w:val="24"/>
        </w:rPr>
        <w:t>北京天健兴业资产评估有限公司接受云南煤化工集团有限公司的委托，按照有关法律、行政法规和资产评估准则的规定，坚持独立、客观、公正的原则，采用成本法或市场法，按照必要的评估程序，对云南煤化工集团有限公司拟处置资产所涉及的不动产及设备资产进行评估。现将资产评估情况报告如下。</w:t>
      </w:r>
    </w:p>
    <w:p w:rsidR="00AD7AA7" w:rsidRDefault="00AD7AA7" w:rsidP="00AD7AA7">
      <w:pPr>
        <w:spacing w:line="360" w:lineRule="auto"/>
        <w:ind w:firstLineChars="200" w:firstLine="422"/>
        <w:rPr>
          <w:rFonts w:eastAsiaTheme="minorEastAsia"/>
        </w:rPr>
      </w:pPr>
      <w:r>
        <w:rPr>
          <w:rFonts w:eastAsiaTheme="minorEastAsia"/>
          <w:b/>
        </w:rPr>
        <w:t>一、评估目的</w:t>
      </w:r>
      <w:r>
        <w:rPr>
          <w:rFonts w:eastAsiaTheme="minorEastAsia"/>
        </w:rPr>
        <w:t>：</w:t>
      </w:r>
      <w:bookmarkStart w:id="1" w:name="_Hlk525905821"/>
      <w:r>
        <w:rPr>
          <w:rFonts w:eastAsiaTheme="minorEastAsia"/>
          <w:sz w:val="24"/>
        </w:rPr>
        <w:t>云南煤化工集团有限公司拟处置资产，需对</w:t>
      </w:r>
      <w:r>
        <w:rPr>
          <w:rFonts w:eastAsiaTheme="minorEastAsia" w:hint="eastAsia"/>
          <w:sz w:val="24"/>
        </w:rPr>
        <w:t>上述</w:t>
      </w:r>
      <w:r>
        <w:rPr>
          <w:rFonts w:eastAsiaTheme="minorEastAsia"/>
          <w:sz w:val="24"/>
        </w:rPr>
        <w:t>经济行为所涉及的</w:t>
      </w:r>
      <w:r>
        <w:rPr>
          <w:rFonts w:eastAsiaTheme="minorEastAsia" w:hint="eastAsia"/>
          <w:sz w:val="24"/>
        </w:rPr>
        <w:t>祥云二甲醚储备站</w:t>
      </w:r>
      <w:r>
        <w:rPr>
          <w:rFonts w:eastAsiaTheme="minorEastAsia"/>
        </w:rPr>
        <w:t>不动产及设备资产价值</w:t>
      </w:r>
      <w:r>
        <w:rPr>
          <w:rFonts w:eastAsiaTheme="minorEastAsia"/>
          <w:sz w:val="24"/>
        </w:rPr>
        <w:t>在</w:t>
      </w:r>
      <w:r>
        <w:rPr>
          <w:rFonts w:eastAsiaTheme="minorEastAsia"/>
          <w:sz w:val="24"/>
        </w:rPr>
        <w:t>2019</w:t>
      </w:r>
      <w:r>
        <w:rPr>
          <w:rFonts w:eastAsiaTheme="minorEastAsia"/>
          <w:sz w:val="24"/>
        </w:rPr>
        <w:t>年</w:t>
      </w:r>
      <w:r>
        <w:rPr>
          <w:rFonts w:eastAsiaTheme="minorEastAsia"/>
          <w:sz w:val="24"/>
        </w:rPr>
        <w:t>8</w:t>
      </w:r>
      <w:r>
        <w:rPr>
          <w:rFonts w:eastAsiaTheme="minorEastAsia"/>
          <w:sz w:val="24"/>
        </w:rPr>
        <w:t>月</w:t>
      </w:r>
      <w:r>
        <w:rPr>
          <w:rFonts w:eastAsiaTheme="minorEastAsia"/>
          <w:sz w:val="24"/>
        </w:rPr>
        <w:t>31</w:t>
      </w:r>
      <w:r>
        <w:rPr>
          <w:rFonts w:eastAsiaTheme="minorEastAsia"/>
          <w:sz w:val="24"/>
        </w:rPr>
        <w:t>日的市场价值进行评估，为云南煤化工集团有限公司处置资产提供价值参考依据。</w:t>
      </w:r>
    </w:p>
    <w:bookmarkEnd w:id="1"/>
    <w:p w:rsidR="00AD7AA7" w:rsidRDefault="00AD7AA7" w:rsidP="00AD7AA7">
      <w:pPr>
        <w:pStyle w:val="a3"/>
        <w:snapToGrid w:val="0"/>
        <w:spacing w:line="360" w:lineRule="auto"/>
        <w:ind w:firstLineChars="200" w:firstLine="422"/>
        <w:rPr>
          <w:rFonts w:eastAsiaTheme="minorEastAsia"/>
          <w:szCs w:val="24"/>
        </w:rPr>
      </w:pPr>
      <w:r>
        <w:rPr>
          <w:rFonts w:ascii="Times New Roman" w:eastAsiaTheme="minorEastAsia"/>
          <w:b/>
          <w:szCs w:val="24"/>
        </w:rPr>
        <w:t>二、评估对象</w:t>
      </w:r>
      <w:r>
        <w:rPr>
          <w:rFonts w:ascii="Times New Roman" w:eastAsiaTheme="minorEastAsia"/>
          <w:szCs w:val="24"/>
        </w:rPr>
        <w:t>：云南煤化工集团有限公司拟处置资产所涉及的</w:t>
      </w:r>
      <w:r>
        <w:rPr>
          <w:rFonts w:eastAsiaTheme="minorEastAsia" w:hint="eastAsia"/>
          <w:sz w:val="24"/>
        </w:rPr>
        <w:t>祥云二甲醚储备站</w:t>
      </w:r>
      <w:r>
        <w:rPr>
          <w:rFonts w:ascii="Times New Roman" w:eastAsiaTheme="minorEastAsia"/>
          <w:szCs w:val="24"/>
        </w:rPr>
        <w:t>不动产及设备资产价值。</w:t>
      </w:r>
    </w:p>
    <w:p w:rsidR="00AD7AA7" w:rsidRDefault="00AD7AA7" w:rsidP="00AD7AA7">
      <w:pPr>
        <w:spacing w:line="360" w:lineRule="auto"/>
        <w:ind w:firstLineChars="200" w:firstLine="422"/>
        <w:rPr>
          <w:rFonts w:eastAsiaTheme="minorEastAsia"/>
        </w:rPr>
      </w:pPr>
      <w:r>
        <w:rPr>
          <w:rFonts w:eastAsiaTheme="minorEastAsia"/>
          <w:b/>
        </w:rPr>
        <w:t>三、评估范围</w:t>
      </w:r>
      <w:r>
        <w:rPr>
          <w:rFonts w:eastAsiaTheme="minorEastAsia"/>
        </w:rPr>
        <w:t>：</w:t>
      </w:r>
      <w:r>
        <w:rPr>
          <w:rFonts w:eastAsiaTheme="minorEastAsia"/>
          <w:sz w:val="24"/>
        </w:rPr>
        <w:t>云南煤化工集团有限公司拟处置资产所涉及的云南煤化工集团有限公司</w:t>
      </w:r>
      <w:r>
        <w:rPr>
          <w:rFonts w:eastAsiaTheme="minorEastAsia" w:hint="eastAsia"/>
          <w:sz w:val="24"/>
        </w:rPr>
        <w:t>祥云二甲醚储备站</w:t>
      </w:r>
      <w:r>
        <w:rPr>
          <w:rFonts w:eastAsiaTheme="minorEastAsia"/>
          <w:sz w:val="24"/>
        </w:rPr>
        <w:t>土地使用权、房屋建筑物及构筑物和设备，具体以产权持有单位申报的评估明细表为准。</w:t>
      </w:r>
    </w:p>
    <w:p w:rsidR="00AD7AA7" w:rsidRDefault="00AD7AA7" w:rsidP="00AD7AA7">
      <w:pPr>
        <w:pStyle w:val="a3"/>
        <w:snapToGrid w:val="0"/>
        <w:spacing w:line="360" w:lineRule="auto"/>
        <w:ind w:firstLineChars="200" w:firstLine="422"/>
        <w:rPr>
          <w:rFonts w:eastAsiaTheme="minorEastAsia"/>
          <w:szCs w:val="24"/>
        </w:rPr>
      </w:pPr>
      <w:r>
        <w:rPr>
          <w:rFonts w:ascii="Times New Roman" w:eastAsiaTheme="minorEastAsia"/>
          <w:b/>
          <w:szCs w:val="24"/>
        </w:rPr>
        <w:t>四、价值类型</w:t>
      </w:r>
      <w:r>
        <w:rPr>
          <w:rFonts w:ascii="Times New Roman" w:eastAsiaTheme="minorEastAsia"/>
          <w:szCs w:val="24"/>
        </w:rPr>
        <w:t>：市场价值。</w:t>
      </w:r>
    </w:p>
    <w:p w:rsidR="00AD7AA7" w:rsidRDefault="00AD7AA7" w:rsidP="00AD7AA7">
      <w:pPr>
        <w:pStyle w:val="a3"/>
        <w:snapToGrid w:val="0"/>
        <w:spacing w:line="360" w:lineRule="auto"/>
        <w:ind w:firstLineChars="200" w:firstLine="422"/>
        <w:rPr>
          <w:rFonts w:eastAsiaTheme="minorEastAsia"/>
          <w:szCs w:val="24"/>
        </w:rPr>
      </w:pPr>
      <w:r>
        <w:rPr>
          <w:rFonts w:ascii="Times New Roman" w:eastAsiaTheme="minorEastAsia"/>
          <w:b/>
          <w:szCs w:val="24"/>
        </w:rPr>
        <w:t>五、评估基准日</w:t>
      </w:r>
      <w:r>
        <w:rPr>
          <w:rFonts w:ascii="Times New Roman" w:eastAsiaTheme="minorEastAsia"/>
          <w:szCs w:val="24"/>
        </w:rPr>
        <w:t>：</w:t>
      </w:r>
      <w:r>
        <w:rPr>
          <w:rFonts w:ascii="Times New Roman" w:eastAsiaTheme="minorEastAsia"/>
          <w:szCs w:val="24"/>
        </w:rPr>
        <w:t xml:space="preserve"> </w:t>
      </w:r>
      <w:bookmarkStart w:id="2" w:name="_Hlk527705128"/>
      <w:r>
        <w:rPr>
          <w:rFonts w:ascii="Times New Roman" w:eastAsiaTheme="minorEastAsia"/>
          <w:szCs w:val="24"/>
        </w:rPr>
        <w:t>2019</w:t>
      </w:r>
      <w:r>
        <w:rPr>
          <w:rFonts w:ascii="Times New Roman" w:eastAsiaTheme="minorEastAsia"/>
          <w:szCs w:val="24"/>
        </w:rPr>
        <w:t>年</w:t>
      </w:r>
      <w:r>
        <w:rPr>
          <w:rFonts w:ascii="Times New Roman" w:eastAsiaTheme="minorEastAsia"/>
          <w:szCs w:val="24"/>
        </w:rPr>
        <w:t>8</w:t>
      </w:r>
      <w:r>
        <w:rPr>
          <w:rFonts w:ascii="Times New Roman" w:eastAsiaTheme="minorEastAsia"/>
          <w:szCs w:val="24"/>
        </w:rPr>
        <w:t>月</w:t>
      </w:r>
      <w:r>
        <w:rPr>
          <w:rFonts w:ascii="Times New Roman" w:eastAsiaTheme="minorEastAsia"/>
          <w:szCs w:val="24"/>
        </w:rPr>
        <w:t>31</w:t>
      </w:r>
      <w:r>
        <w:rPr>
          <w:rFonts w:ascii="Times New Roman" w:eastAsiaTheme="minorEastAsia"/>
          <w:szCs w:val="24"/>
        </w:rPr>
        <w:t>日</w:t>
      </w:r>
      <w:bookmarkEnd w:id="2"/>
      <w:r>
        <w:rPr>
          <w:rFonts w:ascii="Times New Roman" w:eastAsiaTheme="minorEastAsia"/>
          <w:szCs w:val="24"/>
        </w:rPr>
        <w:t>。</w:t>
      </w:r>
    </w:p>
    <w:p w:rsidR="00AD7AA7" w:rsidRDefault="00AD7AA7" w:rsidP="00AD7AA7">
      <w:pPr>
        <w:pStyle w:val="a3"/>
        <w:snapToGrid w:val="0"/>
        <w:spacing w:line="360" w:lineRule="auto"/>
        <w:ind w:firstLineChars="200" w:firstLine="422"/>
        <w:rPr>
          <w:rFonts w:eastAsiaTheme="minorEastAsia"/>
          <w:szCs w:val="24"/>
        </w:rPr>
      </w:pPr>
      <w:r>
        <w:rPr>
          <w:rFonts w:ascii="Times New Roman" w:eastAsiaTheme="minorEastAsia"/>
          <w:b/>
          <w:szCs w:val="24"/>
        </w:rPr>
        <w:t>六、评估方法</w:t>
      </w:r>
      <w:r>
        <w:rPr>
          <w:rFonts w:ascii="Times New Roman" w:eastAsiaTheme="minorEastAsia"/>
          <w:szCs w:val="24"/>
        </w:rPr>
        <w:t>：成本法、市场法。</w:t>
      </w:r>
    </w:p>
    <w:p w:rsidR="00AD7AA7" w:rsidRDefault="00AD7AA7" w:rsidP="00AD7AA7">
      <w:pPr>
        <w:pStyle w:val="a3"/>
        <w:snapToGrid w:val="0"/>
        <w:spacing w:line="360" w:lineRule="auto"/>
        <w:ind w:firstLineChars="200" w:firstLine="422"/>
        <w:rPr>
          <w:rFonts w:eastAsiaTheme="minorEastAsia"/>
          <w:szCs w:val="24"/>
        </w:rPr>
      </w:pPr>
      <w:r>
        <w:rPr>
          <w:rFonts w:ascii="Times New Roman" w:eastAsiaTheme="minorEastAsia"/>
          <w:b/>
          <w:szCs w:val="24"/>
        </w:rPr>
        <w:t>七、评估结论</w:t>
      </w:r>
      <w:r>
        <w:rPr>
          <w:rFonts w:ascii="Times New Roman" w:eastAsiaTheme="minorEastAsia"/>
          <w:szCs w:val="24"/>
        </w:rPr>
        <w:t>：</w:t>
      </w:r>
    </w:p>
    <w:p w:rsidR="00AD7AA7" w:rsidRDefault="00AD7AA7" w:rsidP="00AD7AA7">
      <w:pPr>
        <w:spacing w:line="360" w:lineRule="auto"/>
        <w:ind w:firstLineChars="200" w:firstLine="480"/>
      </w:pPr>
      <w:r>
        <w:rPr>
          <w:sz w:val="24"/>
        </w:rPr>
        <w:t>云南煤化工集团有限公司资产账面价值为</w:t>
      </w:r>
      <w:r>
        <w:rPr>
          <w:b/>
          <w:sz w:val="24"/>
          <w:lang w:bidi="ar"/>
        </w:rPr>
        <w:t>843.20</w:t>
      </w:r>
      <w:r>
        <w:rPr>
          <w:sz w:val="24"/>
        </w:rPr>
        <w:t>万元，评估价值为</w:t>
      </w:r>
      <w:r>
        <w:rPr>
          <w:b/>
          <w:sz w:val="24"/>
          <w:lang w:bidi="ar"/>
        </w:rPr>
        <w:t xml:space="preserve"> </w:t>
      </w:r>
      <w:r>
        <w:rPr>
          <w:b/>
          <w:bCs/>
          <w:color w:val="000000"/>
          <w:kern w:val="0"/>
          <w:sz w:val="24"/>
          <w:lang w:bidi="ar"/>
        </w:rPr>
        <w:t>866.15</w:t>
      </w:r>
      <w:r>
        <w:rPr>
          <w:sz w:val="24"/>
        </w:rPr>
        <w:t>万元，</w:t>
      </w:r>
      <w:r>
        <w:rPr>
          <w:rFonts w:hint="eastAsia"/>
          <w:sz w:val="24"/>
        </w:rPr>
        <w:t>增</w:t>
      </w:r>
      <w:r>
        <w:rPr>
          <w:sz w:val="24"/>
        </w:rPr>
        <w:t>值额为</w:t>
      </w:r>
      <w:r>
        <w:rPr>
          <w:b/>
          <w:bCs/>
          <w:color w:val="000000"/>
          <w:kern w:val="0"/>
          <w:sz w:val="24"/>
          <w:lang w:bidi="ar"/>
        </w:rPr>
        <w:t>22.95</w:t>
      </w:r>
      <w:r>
        <w:rPr>
          <w:sz w:val="24"/>
        </w:rPr>
        <w:t>万元，</w:t>
      </w:r>
      <w:r>
        <w:rPr>
          <w:rFonts w:hint="eastAsia"/>
          <w:sz w:val="24"/>
        </w:rPr>
        <w:t>增</w:t>
      </w:r>
      <w:r>
        <w:rPr>
          <w:sz w:val="24"/>
        </w:rPr>
        <w:t>值率为</w:t>
      </w:r>
      <w:r>
        <w:rPr>
          <w:b/>
          <w:bCs/>
          <w:color w:val="000000"/>
          <w:kern w:val="0"/>
          <w:sz w:val="24"/>
          <w:lang w:bidi="ar"/>
        </w:rPr>
        <w:t>2.72</w:t>
      </w:r>
      <w:r>
        <w:rPr>
          <w:sz w:val="24"/>
        </w:rPr>
        <w:t>%</w:t>
      </w:r>
      <w:r>
        <w:rPr>
          <w:sz w:val="24"/>
        </w:rPr>
        <w:t>；评估结果详见下列评估结果汇总表：</w:t>
      </w:r>
    </w:p>
    <w:p w:rsidR="00AD7AA7" w:rsidRDefault="00AD7AA7" w:rsidP="00AD7AA7">
      <w:pPr>
        <w:pStyle w:val="a3"/>
        <w:snapToGrid w:val="0"/>
        <w:spacing w:line="360" w:lineRule="auto"/>
        <w:ind w:firstLine="0"/>
        <w:jc w:val="center"/>
        <w:rPr>
          <w:b/>
        </w:rPr>
      </w:pPr>
      <w:r>
        <w:rPr>
          <w:rFonts w:ascii="Times New Roman"/>
          <w:b/>
        </w:rPr>
        <w:t>资产评估结果汇总表</w:t>
      </w:r>
    </w:p>
    <w:p w:rsidR="00AD7AA7" w:rsidRDefault="00AD7AA7" w:rsidP="00AD7AA7">
      <w:pPr>
        <w:adjustRightInd w:val="0"/>
        <w:snapToGrid w:val="0"/>
        <w:spacing w:before="60" w:after="60" w:line="360" w:lineRule="auto"/>
        <w:ind w:firstLineChars="200" w:firstLine="420"/>
        <w:jc w:val="right"/>
      </w:pPr>
      <w:r>
        <w:t>单位：万元</w:t>
      </w: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7"/>
        <w:gridCol w:w="1537"/>
        <w:gridCol w:w="1621"/>
        <w:gridCol w:w="1432"/>
        <w:gridCol w:w="1673"/>
      </w:tblGrid>
      <w:tr w:rsidR="00AD7AA7" w:rsidTr="00B7232C">
        <w:trPr>
          <w:trHeight w:hRule="exact" w:val="454"/>
          <w:tblHeader/>
          <w:jc w:val="center"/>
        </w:trPr>
        <w:tc>
          <w:tcPr>
            <w:tcW w:w="2457" w:type="dxa"/>
            <w:vAlign w:val="center"/>
          </w:tcPr>
          <w:p w:rsidR="00AD7AA7" w:rsidRDefault="00AD7AA7" w:rsidP="00B7232C">
            <w:pPr>
              <w:pStyle w:val="a3"/>
              <w:ind w:firstLine="0"/>
              <w:jc w:val="center"/>
            </w:pPr>
            <w:r>
              <w:rPr>
                <w:rFonts w:ascii="Times New Roman"/>
              </w:rPr>
              <w:t>项目名称</w:t>
            </w:r>
          </w:p>
        </w:tc>
        <w:tc>
          <w:tcPr>
            <w:tcW w:w="1537" w:type="dxa"/>
            <w:vAlign w:val="center"/>
          </w:tcPr>
          <w:p w:rsidR="00AD7AA7" w:rsidRDefault="00AD7AA7" w:rsidP="00B7232C">
            <w:pPr>
              <w:pStyle w:val="a3"/>
              <w:ind w:firstLine="0"/>
              <w:jc w:val="center"/>
            </w:pPr>
            <w:r>
              <w:rPr>
                <w:rFonts w:ascii="Times New Roman"/>
              </w:rPr>
              <w:t>账面价值</w:t>
            </w:r>
          </w:p>
        </w:tc>
        <w:tc>
          <w:tcPr>
            <w:tcW w:w="1621" w:type="dxa"/>
            <w:vAlign w:val="center"/>
          </w:tcPr>
          <w:p w:rsidR="00AD7AA7" w:rsidRDefault="00AD7AA7" w:rsidP="00B7232C">
            <w:pPr>
              <w:pStyle w:val="a3"/>
              <w:ind w:firstLine="0"/>
              <w:jc w:val="center"/>
            </w:pPr>
            <w:r>
              <w:rPr>
                <w:rFonts w:ascii="Times New Roman"/>
              </w:rPr>
              <w:t>评估价值</w:t>
            </w:r>
          </w:p>
        </w:tc>
        <w:tc>
          <w:tcPr>
            <w:tcW w:w="1432" w:type="dxa"/>
            <w:vAlign w:val="center"/>
          </w:tcPr>
          <w:p w:rsidR="00AD7AA7" w:rsidRDefault="00AD7AA7" w:rsidP="00B7232C">
            <w:pPr>
              <w:pStyle w:val="a3"/>
              <w:ind w:firstLine="0"/>
              <w:jc w:val="center"/>
            </w:pPr>
            <w:r>
              <w:rPr>
                <w:rFonts w:ascii="Times New Roman"/>
              </w:rPr>
              <w:t>增减值</w:t>
            </w:r>
          </w:p>
        </w:tc>
        <w:tc>
          <w:tcPr>
            <w:tcW w:w="1673" w:type="dxa"/>
            <w:vAlign w:val="center"/>
          </w:tcPr>
          <w:p w:rsidR="00AD7AA7" w:rsidRDefault="00AD7AA7" w:rsidP="00B7232C">
            <w:pPr>
              <w:pStyle w:val="a3"/>
              <w:ind w:firstLine="0"/>
              <w:jc w:val="center"/>
            </w:pPr>
            <w:r>
              <w:rPr>
                <w:rFonts w:ascii="Times New Roman"/>
              </w:rPr>
              <w:t>增值率（</w:t>
            </w:r>
            <w:r>
              <w:rPr>
                <w:rFonts w:ascii="Times New Roman"/>
              </w:rPr>
              <w:t>%</w:t>
            </w:r>
            <w:r>
              <w:rPr>
                <w:rFonts w:ascii="Times New Roman"/>
              </w:rPr>
              <w:t>）</w:t>
            </w:r>
          </w:p>
        </w:tc>
      </w:tr>
      <w:tr w:rsidR="00AD7AA7" w:rsidTr="00B7232C">
        <w:trPr>
          <w:trHeight w:hRule="exact" w:val="454"/>
          <w:jc w:val="center"/>
        </w:trPr>
        <w:tc>
          <w:tcPr>
            <w:tcW w:w="2457" w:type="dxa"/>
            <w:vAlign w:val="center"/>
          </w:tcPr>
          <w:p w:rsidR="00AD7AA7" w:rsidRDefault="00AD7AA7" w:rsidP="00B7232C">
            <w:pPr>
              <w:jc w:val="center"/>
              <w:textAlignment w:val="center"/>
              <w:rPr>
                <w:b/>
                <w:bCs/>
              </w:rPr>
            </w:pPr>
            <w:r>
              <w:rPr>
                <w:b/>
                <w:bCs/>
                <w:lang w:bidi="ar"/>
              </w:rPr>
              <w:t>固定资产</w:t>
            </w:r>
          </w:p>
        </w:tc>
        <w:tc>
          <w:tcPr>
            <w:tcW w:w="1537" w:type="dxa"/>
            <w:vAlign w:val="center"/>
          </w:tcPr>
          <w:p w:rsidR="00AD7AA7" w:rsidRDefault="00AD7AA7" w:rsidP="00B7232C">
            <w:pPr>
              <w:widowControl/>
              <w:jc w:val="center"/>
              <w:textAlignment w:val="center"/>
              <w:rPr>
                <w:b/>
                <w:bCs/>
              </w:rPr>
            </w:pPr>
            <w:r>
              <w:rPr>
                <w:b/>
                <w:bCs/>
                <w:color w:val="000000"/>
                <w:kern w:val="0"/>
                <w:sz w:val="24"/>
                <w:lang w:bidi="ar"/>
              </w:rPr>
              <w:t>731.99</w:t>
            </w:r>
          </w:p>
        </w:tc>
        <w:tc>
          <w:tcPr>
            <w:tcW w:w="1621" w:type="dxa"/>
            <w:vAlign w:val="center"/>
          </w:tcPr>
          <w:p w:rsidR="00AD7AA7" w:rsidRDefault="00AD7AA7" w:rsidP="00B7232C">
            <w:pPr>
              <w:widowControl/>
              <w:jc w:val="center"/>
              <w:textAlignment w:val="center"/>
              <w:rPr>
                <w:b/>
                <w:bCs/>
              </w:rPr>
            </w:pPr>
            <w:r>
              <w:rPr>
                <w:b/>
                <w:bCs/>
                <w:color w:val="000000"/>
                <w:kern w:val="0"/>
                <w:sz w:val="24"/>
                <w:lang w:bidi="ar"/>
              </w:rPr>
              <w:t>605.73</w:t>
            </w:r>
          </w:p>
        </w:tc>
        <w:tc>
          <w:tcPr>
            <w:tcW w:w="1432" w:type="dxa"/>
            <w:vAlign w:val="center"/>
          </w:tcPr>
          <w:p w:rsidR="00AD7AA7" w:rsidRDefault="00AD7AA7" w:rsidP="00B7232C">
            <w:pPr>
              <w:widowControl/>
              <w:jc w:val="center"/>
              <w:textAlignment w:val="center"/>
              <w:rPr>
                <w:b/>
                <w:bCs/>
              </w:rPr>
            </w:pPr>
            <w:r>
              <w:rPr>
                <w:b/>
                <w:bCs/>
                <w:color w:val="000000"/>
                <w:kern w:val="0"/>
                <w:sz w:val="24"/>
                <w:lang w:bidi="ar"/>
              </w:rPr>
              <w:t>-126.26</w:t>
            </w:r>
          </w:p>
        </w:tc>
        <w:tc>
          <w:tcPr>
            <w:tcW w:w="1673" w:type="dxa"/>
            <w:vAlign w:val="center"/>
          </w:tcPr>
          <w:p w:rsidR="00AD7AA7" w:rsidRDefault="00AD7AA7" w:rsidP="00B7232C">
            <w:pPr>
              <w:widowControl/>
              <w:jc w:val="center"/>
              <w:textAlignment w:val="center"/>
              <w:rPr>
                <w:b/>
                <w:bCs/>
              </w:rPr>
            </w:pPr>
            <w:r>
              <w:rPr>
                <w:b/>
                <w:bCs/>
                <w:color w:val="000000"/>
                <w:kern w:val="0"/>
                <w:sz w:val="24"/>
                <w:lang w:bidi="ar"/>
              </w:rPr>
              <w:t>-17.25</w:t>
            </w:r>
          </w:p>
        </w:tc>
      </w:tr>
      <w:tr w:rsidR="00AD7AA7" w:rsidTr="00B7232C">
        <w:trPr>
          <w:trHeight w:hRule="exact" w:val="454"/>
          <w:jc w:val="center"/>
        </w:trPr>
        <w:tc>
          <w:tcPr>
            <w:tcW w:w="2457" w:type="dxa"/>
            <w:vAlign w:val="center"/>
          </w:tcPr>
          <w:p w:rsidR="00AD7AA7" w:rsidRDefault="00AD7AA7" w:rsidP="00B7232C">
            <w:pPr>
              <w:jc w:val="center"/>
              <w:textAlignment w:val="center"/>
              <w:rPr>
                <w:lang w:bidi="ar"/>
              </w:rPr>
            </w:pPr>
            <w:r>
              <w:rPr>
                <w:lang w:bidi="ar"/>
              </w:rPr>
              <w:t>其中：房屋建筑物</w:t>
            </w:r>
          </w:p>
        </w:tc>
        <w:tc>
          <w:tcPr>
            <w:tcW w:w="1537" w:type="dxa"/>
            <w:vAlign w:val="center"/>
          </w:tcPr>
          <w:p w:rsidR="00AD7AA7" w:rsidRDefault="00AD7AA7" w:rsidP="00B7232C">
            <w:pPr>
              <w:widowControl/>
              <w:jc w:val="center"/>
              <w:textAlignment w:val="center"/>
              <w:rPr>
                <w:lang w:bidi="ar"/>
              </w:rPr>
            </w:pPr>
            <w:r>
              <w:rPr>
                <w:color w:val="000000"/>
                <w:kern w:val="0"/>
                <w:sz w:val="24"/>
                <w:lang w:bidi="ar"/>
              </w:rPr>
              <w:t>49.24</w:t>
            </w:r>
          </w:p>
        </w:tc>
        <w:tc>
          <w:tcPr>
            <w:tcW w:w="1621" w:type="dxa"/>
            <w:vAlign w:val="center"/>
          </w:tcPr>
          <w:p w:rsidR="00AD7AA7" w:rsidRDefault="00AD7AA7" w:rsidP="00B7232C">
            <w:pPr>
              <w:widowControl/>
              <w:jc w:val="center"/>
              <w:textAlignment w:val="center"/>
              <w:rPr>
                <w:lang w:bidi="ar"/>
              </w:rPr>
            </w:pPr>
            <w:r>
              <w:rPr>
                <w:color w:val="000000"/>
                <w:kern w:val="0"/>
                <w:sz w:val="24"/>
                <w:lang w:bidi="ar"/>
              </w:rPr>
              <w:t>72.77</w:t>
            </w:r>
          </w:p>
        </w:tc>
        <w:tc>
          <w:tcPr>
            <w:tcW w:w="1432" w:type="dxa"/>
            <w:vAlign w:val="center"/>
          </w:tcPr>
          <w:p w:rsidR="00AD7AA7" w:rsidRDefault="00AD7AA7" w:rsidP="00B7232C">
            <w:pPr>
              <w:widowControl/>
              <w:jc w:val="center"/>
              <w:textAlignment w:val="center"/>
              <w:rPr>
                <w:lang w:bidi="ar"/>
              </w:rPr>
            </w:pPr>
            <w:r>
              <w:rPr>
                <w:color w:val="000000"/>
                <w:kern w:val="0"/>
                <w:sz w:val="24"/>
                <w:lang w:bidi="ar"/>
              </w:rPr>
              <w:t>23.53</w:t>
            </w:r>
          </w:p>
        </w:tc>
        <w:tc>
          <w:tcPr>
            <w:tcW w:w="1673" w:type="dxa"/>
            <w:vAlign w:val="center"/>
          </w:tcPr>
          <w:p w:rsidR="00AD7AA7" w:rsidRDefault="00AD7AA7" w:rsidP="00B7232C">
            <w:pPr>
              <w:widowControl/>
              <w:jc w:val="center"/>
              <w:textAlignment w:val="center"/>
              <w:rPr>
                <w:lang w:bidi="ar"/>
              </w:rPr>
            </w:pPr>
            <w:r>
              <w:rPr>
                <w:color w:val="000000"/>
                <w:kern w:val="0"/>
                <w:sz w:val="24"/>
                <w:lang w:bidi="ar"/>
              </w:rPr>
              <w:t>47.79</w:t>
            </w:r>
          </w:p>
        </w:tc>
      </w:tr>
      <w:tr w:rsidR="00AD7AA7" w:rsidTr="00B7232C">
        <w:trPr>
          <w:trHeight w:hRule="exact" w:val="454"/>
          <w:jc w:val="center"/>
        </w:trPr>
        <w:tc>
          <w:tcPr>
            <w:tcW w:w="2457" w:type="dxa"/>
            <w:vAlign w:val="center"/>
          </w:tcPr>
          <w:p w:rsidR="00AD7AA7" w:rsidRDefault="00AD7AA7" w:rsidP="00B7232C">
            <w:pPr>
              <w:jc w:val="center"/>
              <w:textAlignment w:val="center"/>
              <w:rPr>
                <w:lang w:bidi="ar"/>
              </w:rPr>
            </w:pPr>
            <w:r>
              <w:rPr>
                <w:lang w:bidi="ar"/>
              </w:rPr>
              <w:lastRenderedPageBreak/>
              <w:t>构筑物</w:t>
            </w:r>
          </w:p>
        </w:tc>
        <w:tc>
          <w:tcPr>
            <w:tcW w:w="1537" w:type="dxa"/>
            <w:vAlign w:val="center"/>
          </w:tcPr>
          <w:p w:rsidR="00AD7AA7" w:rsidRDefault="00AD7AA7" w:rsidP="00B7232C">
            <w:pPr>
              <w:widowControl/>
              <w:jc w:val="center"/>
              <w:textAlignment w:val="center"/>
              <w:rPr>
                <w:lang w:bidi="ar"/>
              </w:rPr>
            </w:pPr>
            <w:r>
              <w:rPr>
                <w:color w:val="000000"/>
                <w:kern w:val="0"/>
                <w:sz w:val="24"/>
                <w:lang w:bidi="ar"/>
              </w:rPr>
              <w:t>578.71</w:t>
            </w:r>
          </w:p>
        </w:tc>
        <w:tc>
          <w:tcPr>
            <w:tcW w:w="1621" w:type="dxa"/>
            <w:vAlign w:val="center"/>
          </w:tcPr>
          <w:p w:rsidR="00AD7AA7" w:rsidRDefault="00AD7AA7" w:rsidP="00B7232C">
            <w:pPr>
              <w:widowControl/>
              <w:jc w:val="center"/>
              <w:textAlignment w:val="center"/>
              <w:rPr>
                <w:lang w:bidi="ar"/>
              </w:rPr>
            </w:pPr>
            <w:r>
              <w:rPr>
                <w:color w:val="000000"/>
                <w:kern w:val="0"/>
                <w:sz w:val="24"/>
                <w:lang w:bidi="ar"/>
              </w:rPr>
              <w:t>463.95</w:t>
            </w:r>
          </w:p>
        </w:tc>
        <w:tc>
          <w:tcPr>
            <w:tcW w:w="1432" w:type="dxa"/>
            <w:vAlign w:val="center"/>
          </w:tcPr>
          <w:p w:rsidR="00AD7AA7" w:rsidRDefault="00AD7AA7" w:rsidP="00B7232C">
            <w:pPr>
              <w:widowControl/>
              <w:jc w:val="center"/>
              <w:textAlignment w:val="center"/>
              <w:rPr>
                <w:lang w:bidi="ar"/>
              </w:rPr>
            </w:pPr>
            <w:r>
              <w:rPr>
                <w:color w:val="000000"/>
                <w:kern w:val="0"/>
                <w:sz w:val="24"/>
                <w:lang w:bidi="ar"/>
              </w:rPr>
              <w:t>-114.76</w:t>
            </w:r>
          </w:p>
        </w:tc>
        <w:tc>
          <w:tcPr>
            <w:tcW w:w="1673" w:type="dxa"/>
            <w:vAlign w:val="center"/>
          </w:tcPr>
          <w:p w:rsidR="00AD7AA7" w:rsidRDefault="00AD7AA7" w:rsidP="00B7232C">
            <w:pPr>
              <w:widowControl/>
              <w:jc w:val="center"/>
              <w:textAlignment w:val="center"/>
              <w:rPr>
                <w:lang w:bidi="ar"/>
              </w:rPr>
            </w:pPr>
            <w:r>
              <w:rPr>
                <w:color w:val="000000"/>
                <w:kern w:val="0"/>
                <w:sz w:val="24"/>
                <w:lang w:bidi="ar"/>
              </w:rPr>
              <w:t>-19.83</w:t>
            </w:r>
          </w:p>
        </w:tc>
      </w:tr>
      <w:tr w:rsidR="00AD7AA7" w:rsidTr="00B7232C">
        <w:trPr>
          <w:trHeight w:hRule="exact" w:val="454"/>
          <w:jc w:val="center"/>
        </w:trPr>
        <w:tc>
          <w:tcPr>
            <w:tcW w:w="2457" w:type="dxa"/>
            <w:vAlign w:val="center"/>
          </w:tcPr>
          <w:p w:rsidR="00AD7AA7" w:rsidRDefault="00AD7AA7" w:rsidP="00B7232C">
            <w:pPr>
              <w:jc w:val="center"/>
              <w:textAlignment w:val="center"/>
              <w:rPr>
                <w:lang w:bidi="ar"/>
              </w:rPr>
            </w:pPr>
            <w:r>
              <w:rPr>
                <w:lang w:bidi="ar"/>
              </w:rPr>
              <w:t>机器设备</w:t>
            </w:r>
          </w:p>
        </w:tc>
        <w:tc>
          <w:tcPr>
            <w:tcW w:w="1537" w:type="dxa"/>
            <w:vAlign w:val="center"/>
          </w:tcPr>
          <w:p w:rsidR="00AD7AA7" w:rsidRDefault="00AD7AA7" w:rsidP="00B7232C">
            <w:pPr>
              <w:widowControl/>
              <w:jc w:val="center"/>
              <w:textAlignment w:val="center"/>
              <w:rPr>
                <w:lang w:bidi="ar"/>
              </w:rPr>
            </w:pPr>
            <w:r>
              <w:rPr>
                <w:color w:val="000000"/>
                <w:kern w:val="0"/>
                <w:sz w:val="24"/>
                <w:lang w:bidi="ar"/>
              </w:rPr>
              <w:t>104.04</w:t>
            </w:r>
          </w:p>
        </w:tc>
        <w:tc>
          <w:tcPr>
            <w:tcW w:w="1621" w:type="dxa"/>
            <w:vAlign w:val="center"/>
          </w:tcPr>
          <w:p w:rsidR="00AD7AA7" w:rsidRDefault="00AD7AA7" w:rsidP="00B7232C">
            <w:pPr>
              <w:widowControl/>
              <w:jc w:val="center"/>
              <w:textAlignment w:val="center"/>
              <w:rPr>
                <w:lang w:bidi="ar"/>
              </w:rPr>
            </w:pPr>
            <w:r>
              <w:rPr>
                <w:color w:val="000000"/>
                <w:kern w:val="0"/>
                <w:sz w:val="24"/>
                <w:lang w:bidi="ar"/>
              </w:rPr>
              <w:t>69.01</w:t>
            </w:r>
          </w:p>
        </w:tc>
        <w:tc>
          <w:tcPr>
            <w:tcW w:w="1432" w:type="dxa"/>
            <w:vAlign w:val="center"/>
          </w:tcPr>
          <w:p w:rsidR="00AD7AA7" w:rsidRDefault="00AD7AA7" w:rsidP="00B7232C">
            <w:pPr>
              <w:widowControl/>
              <w:jc w:val="center"/>
              <w:textAlignment w:val="center"/>
              <w:rPr>
                <w:lang w:bidi="ar"/>
              </w:rPr>
            </w:pPr>
            <w:r>
              <w:rPr>
                <w:color w:val="000000"/>
                <w:kern w:val="0"/>
                <w:sz w:val="24"/>
                <w:lang w:bidi="ar"/>
              </w:rPr>
              <w:t>-35.03</w:t>
            </w:r>
          </w:p>
        </w:tc>
        <w:tc>
          <w:tcPr>
            <w:tcW w:w="1673" w:type="dxa"/>
            <w:vAlign w:val="center"/>
          </w:tcPr>
          <w:p w:rsidR="00AD7AA7" w:rsidRDefault="00AD7AA7" w:rsidP="00B7232C">
            <w:pPr>
              <w:widowControl/>
              <w:jc w:val="center"/>
              <w:textAlignment w:val="center"/>
              <w:rPr>
                <w:lang w:bidi="ar"/>
              </w:rPr>
            </w:pPr>
            <w:r>
              <w:rPr>
                <w:color w:val="000000"/>
                <w:kern w:val="0"/>
                <w:sz w:val="24"/>
                <w:lang w:bidi="ar"/>
              </w:rPr>
              <w:t>-33.67</w:t>
            </w:r>
          </w:p>
        </w:tc>
      </w:tr>
      <w:tr w:rsidR="00AD7AA7" w:rsidTr="00B7232C">
        <w:trPr>
          <w:trHeight w:hRule="exact" w:val="454"/>
          <w:jc w:val="center"/>
        </w:trPr>
        <w:tc>
          <w:tcPr>
            <w:tcW w:w="2457" w:type="dxa"/>
            <w:vAlign w:val="center"/>
          </w:tcPr>
          <w:p w:rsidR="00AD7AA7" w:rsidRDefault="00AD7AA7" w:rsidP="00B7232C">
            <w:pPr>
              <w:jc w:val="center"/>
              <w:textAlignment w:val="center"/>
              <w:rPr>
                <w:b/>
                <w:bCs/>
              </w:rPr>
            </w:pPr>
            <w:r>
              <w:rPr>
                <w:b/>
                <w:bCs/>
                <w:lang w:bidi="ar"/>
              </w:rPr>
              <w:t>无形资产</w:t>
            </w:r>
          </w:p>
        </w:tc>
        <w:tc>
          <w:tcPr>
            <w:tcW w:w="1537" w:type="dxa"/>
            <w:vAlign w:val="center"/>
          </w:tcPr>
          <w:p w:rsidR="00AD7AA7" w:rsidRDefault="00AD7AA7" w:rsidP="00B7232C">
            <w:pPr>
              <w:widowControl/>
              <w:jc w:val="center"/>
              <w:textAlignment w:val="center"/>
              <w:rPr>
                <w:b/>
                <w:bCs/>
              </w:rPr>
            </w:pPr>
            <w:r>
              <w:rPr>
                <w:b/>
                <w:bCs/>
                <w:color w:val="000000"/>
                <w:kern w:val="0"/>
                <w:sz w:val="24"/>
                <w:lang w:bidi="ar"/>
              </w:rPr>
              <w:t>111.21</w:t>
            </w:r>
          </w:p>
        </w:tc>
        <w:tc>
          <w:tcPr>
            <w:tcW w:w="1621" w:type="dxa"/>
            <w:vAlign w:val="center"/>
          </w:tcPr>
          <w:p w:rsidR="00AD7AA7" w:rsidRDefault="00AD7AA7" w:rsidP="00B7232C">
            <w:pPr>
              <w:widowControl/>
              <w:jc w:val="center"/>
              <w:textAlignment w:val="center"/>
              <w:rPr>
                <w:b/>
                <w:bCs/>
              </w:rPr>
            </w:pPr>
            <w:r>
              <w:rPr>
                <w:b/>
                <w:bCs/>
                <w:color w:val="000000"/>
                <w:kern w:val="0"/>
                <w:sz w:val="24"/>
                <w:lang w:bidi="ar"/>
              </w:rPr>
              <w:t>260.42</w:t>
            </w:r>
          </w:p>
        </w:tc>
        <w:tc>
          <w:tcPr>
            <w:tcW w:w="1432" w:type="dxa"/>
            <w:vAlign w:val="center"/>
          </w:tcPr>
          <w:p w:rsidR="00AD7AA7" w:rsidRDefault="00AD7AA7" w:rsidP="00B7232C">
            <w:pPr>
              <w:widowControl/>
              <w:jc w:val="center"/>
              <w:textAlignment w:val="center"/>
              <w:rPr>
                <w:b/>
                <w:bCs/>
              </w:rPr>
            </w:pPr>
            <w:r>
              <w:rPr>
                <w:b/>
                <w:bCs/>
                <w:color w:val="000000"/>
                <w:kern w:val="0"/>
                <w:sz w:val="24"/>
                <w:lang w:bidi="ar"/>
              </w:rPr>
              <w:t>149.21</w:t>
            </w:r>
          </w:p>
        </w:tc>
        <w:tc>
          <w:tcPr>
            <w:tcW w:w="1673" w:type="dxa"/>
            <w:vAlign w:val="center"/>
          </w:tcPr>
          <w:p w:rsidR="00AD7AA7" w:rsidRDefault="00AD7AA7" w:rsidP="00B7232C">
            <w:pPr>
              <w:widowControl/>
              <w:jc w:val="center"/>
              <w:textAlignment w:val="center"/>
              <w:rPr>
                <w:b/>
                <w:bCs/>
              </w:rPr>
            </w:pPr>
            <w:r>
              <w:rPr>
                <w:b/>
                <w:bCs/>
                <w:color w:val="000000"/>
                <w:kern w:val="0"/>
                <w:sz w:val="24"/>
                <w:lang w:bidi="ar"/>
              </w:rPr>
              <w:t>134.17</w:t>
            </w:r>
          </w:p>
        </w:tc>
      </w:tr>
      <w:tr w:rsidR="00AD7AA7" w:rsidTr="00B7232C">
        <w:trPr>
          <w:trHeight w:hRule="exact" w:val="454"/>
          <w:jc w:val="center"/>
        </w:trPr>
        <w:tc>
          <w:tcPr>
            <w:tcW w:w="2457" w:type="dxa"/>
            <w:vAlign w:val="center"/>
          </w:tcPr>
          <w:p w:rsidR="00AD7AA7" w:rsidRDefault="00AD7AA7" w:rsidP="00B7232C">
            <w:pPr>
              <w:jc w:val="center"/>
              <w:textAlignment w:val="center"/>
            </w:pPr>
            <w:r>
              <w:rPr>
                <w:lang w:bidi="ar"/>
              </w:rPr>
              <w:t>其中：土地使用权</w:t>
            </w:r>
          </w:p>
        </w:tc>
        <w:tc>
          <w:tcPr>
            <w:tcW w:w="1537" w:type="dxa"/>
            <w:vAlign w:val="center"/>
          </w:tcPr>
          <w:p w:rsidR="00AD7AA7" w:rsidRDefault="00AD7AA7" w:rsidP="00B7232C">
            <w:pPr>
              <w:widowControl/>
              <w:jc w:val="center"/>
              <w:textAlignment w:val="center"/>
            </w:pPr>
            <w:r>
              <w:rPr>
                <w:color w:val="000000"/>
                <w:kern w:val="0"/>
                <w:sz w:val="24"/>
                <w:lang w:bidi="ar"/>
              </w:rPr>
              <w:t>111.21</w:t>
            </w:r>
          </w:p>
        </w:tc>
        <w:tc>
          <w:tcPr>
            <w:tcW w:w="1621" w:type="dxa"/>
            <w:vAlign w:val="center"/>
          </w:tcPr>
          <w:p w:rsidR="00AD7AA7" w:rsidRDefault="00AD7AA7" w:rsidP="00B7232C">
            <w:pPr>
              <w:widowControl/>
              <w:jc w:val="center"/>
              <w:textAlignment w:val="center"/>
            </w:pPr>
            <w:r>
              <w:rPr>
                <w:color w:val="000000"/>
                <w:kern w:val="0"/>
                <w:sz w:val="24"/>
                <w:lang w:bidi="ar"/>
              </w:rPr>
              <w:t>260.42</w:t>
            </w:r>
          </w:p>
        </w:tc>
        <w:tc>
          <w:tcPr>
            <w:tcW w:w="1432" w:type="dxa"/>
            <w:vAlign w:val="center"/>
          </w:tcPr>
          <w:p w:rsidR="00AD7AA7" w:rsidRDefault="00AD7AA7" w:rsidP="00B7232C">
            <w:pPr>
              <w:widowControl/>
              <w:jc w:val="center"/>
              <w:textAlignment w:val="center"/>
            </w:pPr>
            <w:r>
              <w:rPr>
                <w:color w:val="000000"/>
                <w:kern w:val="0"/>
                <w:sz w:val="24"/>
                <w:lang w:bidi="ar"/>
              </w:rPr>
              <w:t>149.21</w:t>
            </w:r>
          </w:p>
        </w:tc>
        <w:tc>
          <w:tcPr>
            <w:tcW w:w="1673" w:type="dxa"/>
            <w:vAlign w:val="center"/>
          </w:tcPr>
          <w:p w:rsidR="00AD7AA7" w:rsidRDefault="00AD7AA7" w:rsidP="00B7232C">
            <w:pPr>
              <w:widowControl/>
              <w:jc w:val="center"/>
              <w:textAlignment w:val="center"/>
            </w:pPr>
            <w:r>
              <w:rPr>
                <w:color w:val="000000"/>
                <w:kern w:val="0"/>
                <w:sz w:val="24"/>
                <w:lang w:bidi="ar"/>
              </w:rPr>
              <w:t>134.17</w:t>
            </w:r>
          </w:p>
        </w:tc>
      </w:tr>
      <w:tr w:rsidR="00AD7AA7" w:rsidTr="00B7232C">
        <w:trPr>
          <w:trHeight w:hRule="exact" w:val="454"/>
          <w:jc w:val="center"/>
        </w:trPr>
        <w:tc>
          <w:tcPr>
            <w:tcW w:w="2457" w:type="dxa"/>
            <w:vAlign w:val="center"/>
          </w:tcPr>
          <w:p w:rsidR="00AD7AA7" w:rsidRDefault="00AD7AA7" w:rsidP="00B7232C">
            <w:pPr>
              <w:jc w:val="center"/>
              <w:textAlignment w:val="center"/>
              <w:rPr>
                <w:b/>
                <w:bCs/>
              </w:rPr>
            </w:pPr>
            <w:hyperlink w:anchor="分类汇总!B38" w:history="1">
              <w:r>
                <w:rPr>
                  <w:rStyle w:val="a6"/>
                  <w:b/>
                  <w:bCs/>
                </w:rPr>
                <w:t>资产总计</w:t>
              </w:r>
            </w:hyperlink>
          </w:p>
        </w:tc>
        <w:tc>
          <w:tcPr>
            <w:tcW w:w="1537" w:type="dxa"/>
            <w:vAlign w:val="center"/>
          </w:tcPr>
          <w:p w:rsidR="00AD7AA7" w:rsidRDefault="00AD7AA7" w:rsidP="00B7232C">
            <w:pPr>
              <w:widowControl/>
              <w:jc w:val="center"/>
              <w:textAlignment w:val="center"/>
              <w:rPr>
                <w:b/>
                <w:bCs/>
              </w:rPr>
            </w:pPr>
            <w:r>
              <w:rPr>
                <w:b/>
                <w:bCs/>
                <w:color w:val="000000"/>
                <w:kern w:val="0"/>
                <w:sz w:val="24"/>
                <w:lang w:bidi="ar"/>
              </w:rPr>
              <w:t>843.20</w:t>
            </w:r>
          </w:p>
        </w:tc>
        <w:tc>
          <w:tcPr>
            <w:tcW w:w="1621" w:type="dxa"/>
            <w:vAlign w:val="center"/>
          </w:tcPr>
          <w:p w:rsidR="00AD7AA7" w:rsidRDefault="00AD7AA7" w:rsidP="00B7232C">
            <w:pPr>
              <w:widowControl/>
              <w:jc w:val="center"/>
              <w:textAlignment w:val="center"/>
              <w:rPr>
                <w:b/>
                <w:bCs/>
              </w:rPr>
            </w:pPr>
            <w:r>
              <w:rPr>
                <w:b/>
                <w:bCs/>
                <w:color w:val="000000"/>
                <w:kern w:val="0"/>
                <w:sz w:val="24"/>
                <w:lang w:bidi="ar"/>
              </w:rPr>
              <w:t>866.15</w:t>
            </w:r>
          </w:p>
        </w:tc>
        <w:tc>
          <w:tcPr>
            <w:tcW w:w="1432" w:type="dxa"/>
            <w:vAlign w:val="center"/>
          </w:tcPr>
          <w:p w:rsidR="00AD7AA7" w:rsidRDefault="00AD7AA7" w:rsidP="00B7232C">
            <w:pPr>
              <w:widowControl/>
              <w:jc w:val="center"/>
              <w:textAlignment w:val="center"/>
              <w:rPr>
                <w:b/>
                <w:bCs/>
              </w:rPr>
            </w:pPr>
            <w:r>
              <w:rPr>
                <w:b/>
                <w:bCs/>
                <w:color w:val="000000"/>
                <w:kern w:val="0"/>
                <w:sz w:val="24"/>
                <w:lang w:bidi="ar"/>
              </w:rPr>
              <w:t>22.95</w:t>
            </w:r>
          </w:p>
        </w:tc>
        <w:tc>
          <w:tcPr>
            <w:tcW w:w="1673" w:type="dxa"/>
            <w:vAlign w:val="center"/>
          </w:tcPr>
          <w:p w:rsidR="00AD7AA7" w:rsidRDefault="00AD7AA7" w:rsidP="00B7232C">
            <w:pPr>
              <w:widowControl/>
              <w:jc w:val="center"/>
              <w:textAlignment w:val="center"/>
              <w:rPr>
                <w:b/>
                <w:bCs/>
              </w:rPr>
            </w:pPr>
            <w:r>
              <w:rPr>
                <w:b/>
                <w:bCs/>
                <w:color w:val="000000"/>
                <w:kern w:val="0"/>
                <w:sz w:val="24"/>
                <w:lang w:bidi="ar"/>
              </w:rPr>
              <w:t>2.72</w:t>
            </w:r>
          </w:p>
        </w:tc>
      </w:tr>
    </w:tbl>
    <w:p w:rsidR="00AD7AA7" w:rsidRDefault="00AD7AA7" w:rsidP="00AD7AA7">
      <w:pPr>
        <w:pStyle w:val="a3"/>
        <w:snapToGrid w:val="0"/>
        <w:spacing w:line="360" w:lineRule="auto"/>
        <w:ind w:firstLineChars="200"/>
        <w:rPr>
          <w:rFonts w:eastAsiaTheme="minorEastAsia"/>
        </w:rPr>
      </w:pPr>
      <w:r>
        <w:rPr>
          <w:rFonts w:ascii="Times New Roman" w:eastAsiaTheme="minorEastAsia"/>
        </w:rPr>
        <w:t>报告使用者在使用本报告的评估结论时，请注意本报告正文中第十一项</w:t>
      </w:r>
      <w:r>
        <w:rPr>
          <w:rFonts w:ascii="Times New Roman" w:eastAsiaTheme="minorEastAsia"/>
        </w:rPr>
        <w:t>“</w:t>
      </w:r>
      <w:r>
        <w:rPr>
          <w:rFonts w:ascii="Times New Roman" w:eastAsiaTheme="minorEastAsia"/>
        </w:rPr>
        <w:t>特别事项说明</w:t>
      </w:r>
      <w:r>
        <w:rPr>
          <w:rFonts w:ascii="Times New Roman" w:eastAsiaTheme="minorEastAsia"/>
        </w:rPr>
        <w:t>”</w:t>
      </w:r>
      <w:r>
        <w:rPr>
          <w:rFonts w:ascii="Times New Roman" w:eastAsiaTheme="minorEastAsia"/>
        </w:rPr>
        <w:t>对评估结论的影响；并关注评估结论成立的评估假设及前提条件。</w:t>
      </w:r>
    </w:p>
    <w:p w:rsidR="00AD7AA7" w:rsidRDefault="00AD7AA7" w:rsidP="00AD7AA7">
      <w:pPr>
        <w:pStyle w:val="a3"/>
        <w:snapToGrid w:val="0"/>
        <w:spacing w:line="360" w:lineRule="auto"/>
        <w:ind w:firstLineChars="200"/>
        <w:rPr>
          <w:rFonts w:eastAsiaTheme="minorEastAsia"/>
        </w:rPr>
      </w:pPr>
      <w:r>
        <w:rPr>
          <w:rFonts w:ascii="Times New Roman" w:eastAsiaTheme="minorEastAsia"/>
        </w:rPr>
        <w:t>对于本报告正文中第十一项</w:t>
      </w:r>
      <w:r>
        <w:rPr>
          <w:rFonts w:ascii="Times New Roman" w:eastAsiaTheme="minorEastAsia"/>
        </w:rPr>
        <w:t>“</w:t>
      </w:r>
      <w:r>
        <w:rPr>
          <w:rFonts w:ascii="Times New Roman" w:eastAsiaTheme="minorEastAsia"/>
        </w:rPr>
        <w:t>特别事项说明</w:t>
      </w:r>
      <w:r>
        <w:rPr>
          <w:rFonts w:ascii="Times New Roman" w:eastAsiaTheme="minorEastAsia"/>
        </w:rPr>
        <w:t>”</w:t>
      </w:r>
      <w:r>
        <w:rPr>
          <w:rFonts w:ascii="Times New Roman" w:eastAsiaTheme="minorEastAsia"/>
        </w:rPr>
        <w:t>中有如下事项可能影响评估结论，但非资产评估师执业水平和能力所能评定估算的重大事项，提醒报告使用者特别关注以下情况</w:t>
      </w:r>
      <w:r>
        <w:rPr>
          <w:rFonts w:ascii="Times New Roman" w:eastAsiaTheme="minorEastAsia"/>
        </w:rPr>
        <w:t xml:space="preserve"> </w:t>
      </w:r>
      <w:r>
        <w:rPr>
          <w:rFonts w:ascii="Times New Roman" w:eastAsiaTheme="minorEastAsia"/>
        </w:rPr>
        <w:t>：</w:t>
      </w:r>
    </w:p>
    <w:p w:rsidR="00AD7AA7" w:rsidRDefault="00AD7AA7" w:rsidP="00AD7AA7">
      <w:pPr>
        <w:numPr>
          <w:ilvl w:val="0"/>
          <w:numId w:val="1"/>
        </w:numPr>
        <w:tabs>
          <w:tab w:val="left" w:pos="567"/>
          <w:tab w:val="left" w:pos="1134"/>
        </w:tabs>
        <w:adjustRightInd w:val="0"/>
        <w:spacing w:line="360" w:lineRule="auto"/>
        <w:ind w:firstLineChars="200" w:firstLine="420"/>
        <w:textAlignment w:val="baseline"/>
        <w:rPr>
          <w:rFonts w:eastAsiaTheme="minorEastAsia"/>
          <w:kern w:val="0"/>
        </w:rPr>
      </w:pPr>
      <w:r>
        <w:rPr>
          <w:rFonts w:eastAsiaTheme="minorEastAsia"/>
          <w:kern w:val="0"/>
        </w:rPr>
        <w:t>因本次评估目的为处置资产，本报告评估价值为含税评估值，提醒卖方应根据税法规定考虑增值税对销售金额的影响。本次评估也未考虑本次申报评估资产评估目的实现时尚应承担的费用和所得税项等可能影响其价值的因素，也未对各类资产的重估增、减值额作任何纳税考虑。</w:t>
      </w:r>
    </w:p>
    <w:p w:rsidR="00AD7AA7" w:rsidRDefault="00AD7AA7" w:rsidP="00AD7AA7">
      <w:pPr>
        <w:numPr>
          <w:ilvl w:val="0"/>
          <w:numId w:val="1"/>
        </w:numPr>
        <w:tabs>
          <w:tab w:val="left" w:pos="567"/>
          <w:tab w:val="left" w:pos="1134"/>
        </w:tabs>
        <w:adjustRightInd w:val="0"/>
        <w:spacing w:line="360" w:lineRule="auto"/>
        <w:ind w:firstLineChars="200" w:firstLine="420"/>
        <w:textAlignment w:val="baseline"/>
        <w:rPr>
          <w:rFonts w:eastAsiaTheme="minorEastAsia"/>
          <w:kern w:val="0"/>
        </w:rPr>
      </w:pPr>
      <w:r>
        <w:rPr>
          <w:rFonts w:asciiTheme="minorEastAsia" w:eastAsiaTheme="minorEastAsia" w:hAnsiTheme="minorEastAsia" w:hint="eastAsia"/>
        </w:rPr>
        <w:t>本次评估中，资产评估师未对各种建（构）筑物的隐蔽工程及内部结构（非肉眼所能观察的部分）做技术检测，房屋、构筑物评估结论是在假定被评估单位提供的有关工程资料和申报工程量是真实有效的前提下，在未借助任何检测仪器的条件下，通过实地勘察做出判断。</w:t>
      </w:r>
      <w:r>
        <w:rPr>
          <w:rFonts w:hint="eastAsia"/>
          <w:kern w:val="0"/>
        </w:rPr>
        <w:t>本次委估的构筑物</w:t>
      </w:r>
      <w:r>
        <w:rPr>
          <w:kern w:val="0"/>
        </w:rPr>
        <w:t>面积按评估人员与企业资产管理人员现场测量结果作为评估计算的依据。</w:t>
      </w:r>
      <w:r>
        <w:rPr>
          <w:rFonts w:hint="eastAsia"/>
          <w:kern w:val="0"/>
        </w:rPr>
        <w:t>若测绘部门测绘面积与申报评估面积有差异</w:t>
      </w:r>
      <w:r>
        <w:rPr>
          <w:kern w:val="0"/>
        </w:rPr>
        <w:t>，</w:t>
      </w:r>
      <w:r>
        <w:rPr>
          <w:rFonts w:hint="eastAsia"/>
          <w:kern w:val="0"/>
        </w:rPr>
        <w:t>则</w:t>
      </w:r>
      <w:r>
        <w:rPr>
          <w:kern w:val="0"/>
        </w:rPr>
        <w:t>应</w:t>
      </w:r>
      <w:r>
        <w:rPr>
          <w:rFonts w:hint="eastAsia"/>
          <w:kern w:val="0"/>
        </w:rPr>
        <w:t>相应调整</w:t>
      </w:r>
      <w:r>
        <w:rPr>
          <w:kern w:val="0"/>
        </w:rPr>
        <w:t>评估结论。</w:t>
      </w:r>
    </w:p>
    <w:p w:rsidR="00AD7AA7" w:rsidRDefault="00AD7AA7" w:rsidP="00AD7AA7">
      <w:pPr>
        <w:numPr>
          <w:ilvl w:val="0"/>
          <w:numId w:val="1"/>
        </w:numPr>
        <w:tabs>
          <w:tab w:val="left" w:pos="567"/>
          <w:tab w:val="left" w:pos="1134"/>
        </w:tabs>
        <w:adjustRightInd w:val="0"/>
        <w:spacing w:line="360" w:lineRule="auto"/>
        <w:ind w:firstLineChars="200" w:firstLine="420"/>
        <w:textAlignment w:val="baseline"/>
        <w:rPr>
          <w:rFonts w:eastAsiaTheme="minorEastAsia"/>
        </w:rPr>
      </w:pPr>
      <w:r>
        <w:rPr>
          <w:rFonts w:asciiTheme="minorEastAsia" w:eastAsiaTheme="minorEastAsia" w:hAnsiTheme="minorEastAsia" w:hint="eastAsia"/>
        </w:rPr>
        <w:t>根据</w:t>
      </w:r>
      <w:r>
        <w:rPr>
          <w:rFonts w:asciiTheme="minorEastAsia" w:eastAsiaTheme="minorEastAsia" w:hAnsiTheme="minorEastAsia"/>
        </w:rPr>
        <w:t>云南煤化工集团有限公司</w:t>
      </w:r>
      <w:r>
        <w:rPr>
          <w:rFonts w:asciiTheme="minorEastAsia" w:eastAsiaTheme="minorEastAsia" w:hAnsiTheme="minorEastAsia" w:hint="eastAsia"/>
        </w:rPr>
        <w:t>与云南解化中民清洁能源有限公司、云南解化清洁能源开发有限公司签订的出租补充协议（YNCC2017（020）），</w:t>
      </w:r>
      <w:r>
        <w:rPr>
          <w:rFonts w:asciiTheme="minorEastAsia" w:eastAsiaTheme="minorEastAsia" w:hAnsiTheme="minorEastAsia"/>
        </w:rPr>
        <w:t>云南煤化工集团有限公司</w:t>
      </w:r>
      <w:r>
        <w:rPr>
          <w:rFonts w:asciiTheme="minorEastAsia" w:eastAsiaTheme="minorEastAsia" w:hAnsiTheme="minorEastAsia" w:hint="eastAsia"/>
        </w:rPr>
        <w:t>祥云二甲醚储备站</w:t>
      </w:r>
      <w:r>
        <w:rPr>
          <w:rFonts w:asciiTheme="minorEastAsia" w:eastAsiaTheme="minorEastAsia" w:hAnsiTheme="minorEastAsia"/>
        </w:rPr>
        <w:t>土地使用权、房屋建筑物及构筑物和设备</w:t>
      </w:r>
      <w:r>
        <w:rPr>
          <w:rFonts w:asciiTheme="minorEastAsia" w:eastAsiaTheme="minorEastAsia" w:hAnsiTheme="minorEastAsia" w:hint="eastAsia"/>
        </w:rPr>
        <w:t>出租给云南解化中民清洁能源有限公司有偿使用，每年租金为二十万元，租期自2017年8月至资产处置事宜决定不再租赁时，提前一个月发出解除原合同通知，自收到通知的第30日租期届满，协议予以解除。</w:t>
      </w:r>
      <w:r>
        <w:rPr>
          <w:rFonts w:eastAsiaTheme="minorEastAsia" w:hint="eastAsia"/>
          <w:sz w:val="24"/>
        </w:rPr>
        <w:t>云南解化清洁能源开发有限公司对租赁合同内的租金、违约金和赔偿金等提供连带责任保证担保。</w:t>
      </w:r>
    </w:p>
    <w:p w:rsidR="00AD7AA7" w:rsidRDefault="00AD7AA7" w:rsidP="00AD7AA7">
      <w:pPr>
        <w:numPr>
          <w:ilvl w:val="0"/>
          <w:numId w:val="1"/>
        </w:numPr>
        <w:tabs>
          <w:tab w:val="left" w:pos="567"/>
          <w:tab w:val="left" w:pos="1134"/>
        </w:tabs>
        <w:adjustRightInd w:val="0"/>
        <w:spacing w:line="360" w:lineRule="auto"/>
        <w:ind w:firstLineChars="200" w:firstLine="420"/>
        <w:textAlignment w:val="baseline"/>
        <w:rPr>
          <w:rFonts w:asciiTheme="minorEastAsia" w:eastAsiaTheme="minorEastAsia" w:hAnsiTheme="minorEastAsia"/>
        </w:rPr>
      </w:pPr>
      <w:r>
        <w:rPr>
          <w:rFonts w:asciiTheme="minorEastAsia" w:eastAsiaTheme="minorEastAsia" w:hAnsiTheme="minorEastAsia" w:hint="eastAsia"/>
        </w:rPr>
        <w:t>云南煤化工集团有限公司与云南解化中民清洁能源有限公司2014年签订《租赁合同》时，为了承租方合理合法经营，公司承诺且已将《燃气经营许可证》和《气瓶充装许可证》的经营单位名称变更为承租方。截止评估基准日，《燃气经营许可证》和《气瓶充装许可证》单位名称不在云南煤化工集团有限公司名下，故本次资产处置不包含《燃气经营许</w:t>
      </w:r>
      <w:r>
        <w:rPr>
          <w:rFonts w:asciiTheme="minorEastAsia" w:eastAsiaTheme="minorEastAsia" w:hAnsiTheme="minorEastAsia" w:hint="eastAsia"/>
        </w:rPr>
        <w:lastRenderedPageBreak/>
        <w:t>可证》和《气瓶充装许可证》。</w:t>
      </w:r>
    </w:p>
    <w:p w:rsidR="00AD7AA7" w:rsidRDefault="00AD7AA7" w:rsidP="00AD7AA7">
      <w:pPr>
        <w:pStyle w:val="a3"/>
        <w:snapToGrid w:val="0"/>
        <w:spacing w:line="360" w:lineRule="auto"/>
        <w:ind w:firstLineChars="200"/>
        <w:rPr>
          <w:rFonts w:eastAsiaTheme="minorEastAsia"/>
          <w:szCs w:val="22"/>
        </w:rPr>
      </w:pPr>
      <w:r>
        <w:rPr>
          <w:rFonts w:ascii="Times New Roman" w:eastAsiaTheme="minorEastAsia"/>
          <w:szCs w:val="22"/>
        </w:rPr>
        <w:t>我们特别强调：本评估意见仅作为交易各方进行资产处置交易的价值参考依据，而不能取代交易各方进行资产处置交易价格的决定。</w:t>
      </w:r>
    </w:p>
    <w:p w:rsidR="00AD7AA7" w:rsidRDefault="00AD7AA7" w:rsidP="00AD7AA7">
      <w:pPr>
        <w:pStyle w:val="a3"/>
        <w:snapToGrid w:val="0"/>
        <w:spacing w:line="360" w:lineRule="auto"/>
        <w:ind w:firstLineChars="200"/>
        <w:rPr>
          <w:rFonts w:eastAsiaTheme="minorEastAsia"/>
        </w:rPr>
      </w:pPr>
      <w:r>
        <w:rPr>
          <w:rFonts w:ascii="Times New Roman" w:eastAsiaTheme="minorEastAsia"/>
        </w:rPr>
        <w:t>本报告及其结论仅用于本报告设定的评估目的，而不能用于其他目的。</w:t>
      </w:r>
    </w:p>
    <w:p w:rsidR="00AD7AA7" w:rsidRDefault="00AD7AA7" w:rsidP="00AD7AA7">
      <w:pPr>
        <w:pStyle w:val="a3"/>
        <w:snapToGrid w:val="0"/>
        <w:spacing w:line="360" w:lineRule="auto"/>
        <w:ind w:firstLineChars="200"/>
        <w:rPr>
          <w:rFonts w:eastAsiaTheme="minorEastAsia"/>
        </w:rPr>
      </w:pPr>
      <w:r>
        <w:rPr>
          <w:rFonts w:ascii="Times New Roman" w:eastAsiaTheme="minorEastAsia"/>
        </w:rPr>
        <w:t>根据国家的有关规定，本评估结论使用的有效期限为</w:t>
      </w:r>
      <w:r>
        <w:rPr>
          <w:rFonts w:ascii="Times New Roman" w:eastAsiaTheme="minorEastAsia"/>
        </w:rPr>
        <w:t>1</w:t>
      </w:r>
      <w:r>
        <w:rPr>
          <w:rFonts w:ascii="Times New Roman" w:eastAsiaTheme="minorEastAsia"/>
        </w:rPr>
        <w:t>年，自评估基准日</w:t>
      </w:r>
      <w:r>
        <w:rPr>
          <w:rFonts w:ascii="Times New Roman" w:eastAsiaTheme="minorEastAsia"/>
        </w:rPr>
        <w:t>2019</w:t>
      </w:r>
      <w:r>
        <w:rPr>
          <w:rFonts w:ascii="Times New Roman" w:eastAsiaTheme="minorEastAsia"/>
        </w:rPr>
        <w:t>年</w:t>
      </w:r>
      <w:r>
        <w:rPr>
          <w:rFonts w:ascii="Times New Roman" w:eastAsiaTheme="minorEastAsia"/>
        </w:rPr>
        <w:t>8</w:t>
      </w:r>
      <w:r>
        <w:rPr>
          <w:rFonts w:ascii="Times New Roman" w:eastAsiaTheme="minorEastAsia"/>
        </w:rPr>
        <w:t>月</w:t>
      </w:r>
      <w:r>
        <w:rPr>
          <w:rFonts w:ascii="Times New Roman" w:eastAsiaTheme="minorEastAsia"/>
        </w:rPr>
        <w:t>31</w:t>
      </w:r>
      <w:r>
        <w:rPr>
          <w:rFonts w:ascii="Times New Roman" w:eastAsiaTheme="minorEastAsia"/>
        </w:rPr>
        <w:t>日起，至</w:t>
      </w:r>
      <w:r>
        <w:rPr>
          <w:rFonts w:ascii="Times New Roman" w:eastAsiaTheme="minorEastAsia"/>
        </w:rPr>
        <w:t>2020</w:t>
      </w:r>
      <w:r>
        <w:rPr>
          <w:rFonts w:ascii="Times New Roman" w:eastAsiaTheme="minorEastAsia"/>
        </w:rPr>
        <w:t>年</w:t>
      </w:r>
      <w:r>
        <w:rPr>
          <w:rFonts w:ascii="Times New Roman" w:eastAsiaTheme="minorEastAsia"/>
        </w:rPr>
        <w:t>8</w:t>
      </w:r>
      <w:r>
        <w:rPr>
          <w:rFonts w:ascii="Times New Roman" w:eastAsiaTheme="minorEastAsia"/>
        </w:rPr>
        <w:t>月</w:t>
      </w:r>
      <w:r>
        <w:rPr>
          <w:rFonts w:ascii="Times New Roman" w:eastAsiaTheme="minorEastAsia"/>
        </w:rPr>
        <w:t>30</w:t>
      </w:r>
      <w:r>
        <w:rPr>
          <w:rFonts w:ascii="Times New Roman" w:eastAsiaTheme="minorEastAsia"/>
        </w:rPr>
        <w:t>日止。</w:t>
      </w:r>
    </w:p>
    <w:p w:rsidR="00DB4D52" w:rsidRPr="00AD7AA7" w:rsidRDefault="00AD7AA7" w:rsidP="00AD7AA7">
      <w:r>
        <w:rPr>
          <w:rFonts w:eastAsiaTheme="minorEastAsia"/>
          <w:b/>
        </w:rPr>
        <w:t>以上内容摘自评估报告正文，欲了解本评估项目的全面情况和合理理解评估结论，请报告使用者在征得评估报告所有者许可后，认真阅读评估报告全文，并请关注特别事项说明部分的内容。</w:t>
      </w:r>
      <w:bookmarkStart w:id="3" w:name="_GoBack"/>
      <w:bookmarkEnd w:id="3"/>
    </w:p>
    <w:sectPr w:rsidR="00DB4D52" w:rsidRPr="00AD7AA7" w:rsidSect="009317D0">
      <w:pgSz w:w="11906" w:h="16838"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142D" w:rsidRDefault="004B142D" w:rsidP="00AD7AA7">
      <w:r>
        <w:separator/>
      </w:r>
    </w:p>
  </w:endnote>
  <w:endnote w:type="continuationSeparator" w:id="0">
    <w:p w:rsidR="004B142D" w:rsidRDefault="004B142D" w:rsidP="00AD7A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142D" w:rsidRDefault="004B142D" w:rsidP="00AD7AA7">
      <w:r>
        <w:separator/>
      </w:r>
    </w:p>
  </w:footnote>
  <w:footnote w:type="continuationSeparator" w:id="0">
    <w:p w:rsidR="004B142D" w:rsidRDefault="004B142D" w:rsidP="00AD7A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46ABF60"/>
    <w:multiLevelType w:val="singleLevel"/>
    <w:tmpl w:val="846ABF60"/>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2A6"/>
    <w:rsid w:val="004B142D"/>
    <w:rsid w:val="006812F9"/>
    <w:rsid w:val="007A2548"/>
    <w:rsid w:val="008B5548"/>
    <w:rsid w:val="008D52A6"/>
    <w:rsid w:val="009317D0"/>
    <w:rsid w:val="00AD7AA7"/>
    <w:rsid w:val="00DB4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C801E25-8BEF-49C3-97A1-517567821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52A6"/>
    <w:pPr>
      <w:widowControl w:val="0"/>
      <w:jc w:val="both"/>
    </w:pPr>
    <w:rPr>
      <w:rFonts w:ascii="Times New Roman" w:eastAsia="宋体" w:hAnsi="Times New Roman" w:cs="Times New Roman"/>
      <w:szCs w:val="24"/>
    </w:rPr>
  </w:style>
  <w:style w:type="paragraph" w:styleId="1">
    <w:name w:val="heading 1"/>
    <w:basedOn w:val="a"/>
    <w:next w:val="a"/>
    <w:link w:val="1Char"/>
    <w:qFormat/>
    <w:rsid w:val="00AD7AA7"/>
    <w:pPr>
      <w:keepNext/>
      <w:keepLines/>
      <w:adjustRightInd w:val="0"/>
      <w:spacing w:before="340" w:after="330" w:line="578" w:lineRule="atLeast"/>
      <w:ind w:firstLine="425"/>
      <w:textAlignment w:val="baseline"/>
      <w:outlineLvl w:val="0"/>
    </w:pPr>
    <w:rPr>
      <w:rFonts w:eastAsia="黑体"/>
      <w:b/>
      <w:kern w:val="44"/>
      <w:sz w:val="36"/>
      <w:szCs w:val="20"/>
    </w:rPr>
  </w:style>
  <w:style w:type="paragraph" w:styleId="2">
    <w:name w:val="heading 2"/>
    <w:basedOn w:val="a"/>
    <w:next w:val="a"/>
    <w:link w:val="2Char"/>
    <w:qFormat/>
    <w:rsid w:val="00AD7AA7"/>
    <w:pPr>
      <w:keepNext/>
      <w:keepLines/>
      <w:adjustRightInd w:val="0"/>
      <w:spacing w:before="260" w:after="260" w:line="416" w:lineRule="atLeast"/>
      <w:ind w:firstLine="425"/>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表正文 Char,正文非缩进 Char,特点 Char,正文缩进William Char,ALT+Z Char,标题4 Char,正文（首行缩进两字） Char Char,正文（首行缩进两字） Char Char Char Char Char,正文（首行缩进两字） Char Char Char Char Char Char Char,正文缩进1 Char,表正文1 Char,正文非缩进1 Char,正文缩进William1 Char,特点1 Char"/>
    <w:link w:val="a3"/>
    <w:qFormat/>
    <w:rsid w:val="008D52A6"/>
    <w:rPr>
      <w:rFonts w:ascii="宋体" w:eastAsia="宋体" w:hAnsi="Times New Roman" w:cs="Times New Roman"/>
      <w:kern w:val="0"/>
      <w:szCs w:val="20"/>
    </w:rPr>
  </w:style>
  <w:style w:type="paragraph" w:styleId="a4">
    <w:name w:val="header"/>
    <w:basedOn w:val="a"/>
    <w:link w:val="Char0"/>
    <w:uiPriority w:val="99"/>
    <w:unhideWhenUsed/>
    <w:rsid w:val="00AD7A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D7AA7"/>
    <w:rPr>
      <w:rFonts w:ascii="Times New Roman" w:eastAsia="宋体" w:hAnsi="Times New Roman" w:cs="Times New Roman"/>
      <w:sz w:val="18"/>
      <w:szCs w:val="18"/>
    </w:rPr>
  </w:style>
  <w:style w:type="paragraph" w:styleId="a5">
    <w:name w:val="footer"/>
    <w:basedOn w:val="a"/>
    <w:link w:val="Char1"/>
    <w:uiPriority w:val="99"/>
    <w:unhideWhenUsed/>
    <w:rsid w:val="00AD7AA7"/>
    <w:pPr>
      <w:tabs>
        <w:tab w:val="center" w:pos="4153"/>
        <w:tab w:val="right" w:pos="8306"/>
      </w:tabs>
      <w:snapToGrid w:val="0"/>
      <w:jc w:val="left"/>
    </w:pPr>
    <w:rPr>
      <w:sz w:val="18"/>
      <w:szCs w:val="18"/>
    </w:rPr>
  </w:style>
  <w:style w:type="character" w:customStyle="1" w:styleId="Char1">
    <w:name w:val="页脚 Char"/>
    <w:basedOn w:val="a0"/>
    <w:link w:val="a5"/>
    <w:uiPriority w:val="99"/>
    <w:rsid w:val="00AD7AA7"/>
    <w:rPr>
      <w:rFonts w:ascii="Times New Roman" w:eastAsia="宋体" w:hAnsi="Times New Roman" w:cs="Times New Roman"/>
      <w:sz w:val="18"/>
      <w:szCs w:val="18"/>
    </w:rPr>
  </w:style>
  <w:style w:type="character" w:customStyle="1" w:styleId="1Char">
    <w:name w:val="标题 1 Char"/>
    <w:basedOn w:val="a0"/>
    <w:link w:val="1"/>
    <w:qFormat/>
    <w:rsid w:val="00AD7AA7"/>
    <w:rPr>
      <w:rFonts w:ascii="Times New Roman" w:eastAsia="黑体" w:hAnsi="Times New Roman" w:cs="Times New Roman"/>
      <w:b/>
      <w:kern w:val="44"/>
      <w:sz w:val="36"/>
      <w:szCs w:val="20"/>
    </w:rPr>
  </w:style>
  <w:style w:type="character" w:customStyle="1" w:styleId="2Char">
    <w:name w:val="标题 2 Char"/>
    <w:basedOn w:val="a0"/>
    <w:link w:val="2"/>
    <w:qFormat/>
    <w:rsid w:val="00AD7AA7"/>
    <w:rPr>
      <w:rFonts w:ascii="Arial" w:eastAsia="黑体" w:hAnsi="Arial" w:cs="Times New Roman"/>
      <w:b/>
      <w:kern w:val="0"/>
      <w:sz w:val="32"/>
      <w:szCs w:val="20"/>
    </w:rPr>
  </w:style>
  <w:style w:type="character" w:styleId="a6">
    <w:name w:val="Hyperlink"/>
    <w:uiPriority w:val="99"/>
    <w:qFormat/>
    <w:rsid w:val="00AD7AA7"/>
    <w:rPr>
      <w:color w:val="0000FF"/>
      <w:u w:val="single"/>
    </w:rPr>
  </w:style>
  <w:style w:type="character" w:customStyle="1" w:styleId="Char10">
    <w:name w:val="正文缩进 Char1"/>
    <w:qFormat/>
    <w:rsid w:val="00AD7AA7"/>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296</Words>
  <Characters>1693</Characters>
  <Application>Microsoft Office Word</Application>
  <DocSecurity>0</DocSecurity>
  <Lines>14</Lines>
  <Paragraphs>3</Paragraphs>
  <ScaleCrop>false</ScaleCrop>
  <Company/>
  <LinksUpToDate>false</LinksUpToDate>
  <CharactersWithSpaces>1986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彭海辉</dc:creator>
  <cp:keywords/>
  <dc:description/>
  <cp:lastModifiedBy>彭海辉</cp:lastModifiedBy>
  <cp:revision>2</cp:revision>
  <dcterms:created xsi:type="dcterms:W3CDTF">2019-12-24T01:24:00Z</dcterms:created>
  <dcterms:modified xsi:type="dcterms:W3CDTF">2020-01-02T06:02:00Z</dcterms:modified>
</cp:coreProperties>
</file>