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E67" w:rsidRPr="00743C44" w:rsidRDefault="00465E67" w:rsidP="00465E67">
      <w:pPr>
        <w:ind w:rightChars="-14" w:right="-29"/>
        <w:jc w:val="center"/>
        <w:rPr>
          <w:b/>
          <w:bCs/>
          <w:sz w:val="28"/>
          <w:szCs w:val="28"/>
        </w:rPr>
      </w:pPr>
      <w:bookmarkStart w:id="0" w:name="_GoBack"/>
      <w:bookmarkEnd w:id="0"/>
      <w:r w:rsidRPr="00743C44">
        <w:rPr>
          <w:rFonts w:hint="eastAsia"/>
          <w:b/>
          <w:bCs/>
          <w:sz w:val="28"/>
          <w:szCs w:val="28"/>
        </w:rPr>
        <w:t>云南云维糖业有限公司拟公开挂牌转让所持有的弥渡兴达酒精物资储运有限公司</w:t>
      </w:r>
      <w:r w:rsidRPr="00743C44">
        <w:rPr>
          <w:rFonts w:hint="eastAsia"/>
          <w:b/>
          <w:bCs/>
          <w:sz w:val="28"/>
          <w:szCs w:val="28"/>
        </w:rPr>
        <w:t>85%</w:t>
      </w:r>
      <w:r w:rsidRPr="00743C44">
        <w:rPr>
          <w:rFonts w:hint="eastAsia"/>
          <w:b/>
          <w:bCs/>
          <w:sz w:val="28"/>
          <w:szCs w:val="28"/>
        </w:rPr>
        <w:t>股权所涉及弥渡兴达酒精物资储运有限公司</w:t>
      </w:r>
    </w:p>
    <w:p w:rsidR="00465E67" w:rsidRPr="00A75B77" w:rsidRDefault="00465E67" w:rsidP="00465E67">
      <w:pPr>
        <w:ind w:rightChars="-14" w:right="-29"/>
        <w:jc w:val="center"/>
        <w:rPr>
          <w:b/>
          <w:bCs/>
          <w:sz w:val="28"/>
          <w:szCs w:val="28"/>
        </w:rPr>
      </w:pPr>
      <w:r w:rsidRPr="00743C44">
        <w:rPr>
          <w:rFonts w:hint="eastAsia"/>
          <w:b/>
          <w:bCs/>
          <w:sz w:val="28"/>
          <w:szCs w:val="28"/>
        </w:rPr>
        <w:t>股东部分权益价值评估项目</w:t>
      </w:r>
    </w:p>
    <w:p w:rsidR="00465E67" w:rsidRPr="00D91118" w:rsidRDefault="00465E67" w:rsidP="00465E67">
      <w:pPr>
        <w:ind w:rightChars="-14" w:right="-29"/>
        <w:jc w:val="center"/>
        <w:rPr>
          <w:b/>
          <w:sz w:val="36"/>
          <w:szCs w:val="36"/>
        </w:rPr>
      </w:pPr>
      <w:r w:rsidRPr="00D91118">
        <w:rPr>
          <w:b/>
          <w:sz w:val="36"/>
          <w:szCs w:val="36"/>
        </w:rPr>
        <w:t>资产评估报告摘要</w:t>
      </w:r>
    </w:p>
    <w:p w:rsidR="00465E67" w:rsidRPr="00D91118" w:rsidRDefault="00465E67" w:rsidP="00465E67">
      <w:pPr>
        <w:spacing w:line="360" w:lineRule="auto"/>
        <w:jc w:val="center"/>
        <w:rPr>
          <w:b/>
          <w:bCs/>
          <w:sz w:val="24"/>
        </w:rPr>
      </w:pPr>
      <w:r w:rsidRPr="00D91118">
        <w:rPr>
          <w:b/>
          <w:sz w:val="24"/>
        </w:rPr>
        <w:t>中同华评报字（</w:t>
      </w:r>
      <w:r w:rsidRPr="00D91118">
        <w:rPr>
          <w:b/>
          <w:sz w:val="24"/>
        </w:rPr>
        <w:t>20</w:t>
      </w:r>
      <w:r>
        <w:rPr>
          <w:b/>
          <w:sz w:val="24"/>
        </w:rPr>
        <w:t>20</w:t>
      </w:r>
      <w:r w:rsidRPr="00D91118">
        <w:rPr>
          <w:b/>
          <w:sz w:val="24"/>
        </w:rPr>
        <w:t>）第</w:t>
      </w:r>
      <w:r>
        <w:rPr>
          <w:rFonts w:hint="eastAsia"/>
          <w:b/>
          <w:sz w:val="24"/>
        </w:rPr>
        <w:t xml:space="preserve"> </w:t>
      </w:r>
      <w:r>
        <w:rPr>
          <w:b/>
          <w:sz w:val="24"/>
        </w:rPr>
        <w:t xml:space="preserve">   </w:t>
      </w:r>
      <w:r w:rsidRPr="00D91118">
        <w:rPr>
          <w:b/>
          <w:sz w:val="24"/>
        </w:rPr>
        <w:t>号</w:t>
      </w:r>
    </w:p>
    <w:p w:rsidR="00465E67" w:rsidRPr="00D91118" w:rsidRDefault="00465E67" w:rsidP="00465E67">
      <w:pPr>
        <w:spacing w:before="300" w:after="300"/>
        <w:rPr>
          <w:b/>
          <w:bCs/>
          <w:sz w:val="28"/>
        </w:rPr>
      </w:pPr>
      <w:r w:rsidRPr="000F6137">
        <w:rPr>
          <w:rFonts w:hint="eastAsia"/>
          <w:b/>
          <w:bCs/>
          <w:sz w:val="28"/>
        </w:rPr>
        <w:t>云南云维糖业有限公司</w:t>
      </w:r>
      <w:r w:rsidRPr="00D91118">
        <w:rPr>
          <w:b/>
          <w:bCs/>
          <w:sz w:val="28"/>
        </w:rPr>
        <w:t>：</w:t>
      </w:r>
      <w:r w:rsidRPr="00D91118">
        <w:rPr>
          <w:b/>
          <w:bCs/>
          <w:sz w:val="28"/>
        </w:rPr>
        <w:t xml:space="preserve"> </w:t>
      </w:r>
    </w:p>
    <w:p w:rsidR="00465E67" w:rsidRPr="00D91118" w:rsidRDefault="00465E67" w:rsidP="00465E67">
      <w:pPr>
        <w:pStyle w:val="a3"/>
        <w:spacing w:line="360" w:lineRule="auto"/>
        <w:ind w:firstLineChars="200" w:firstLine="480"/>
        <w:rPr>
          <w:rFonts w:ascii="Times New Roman"/>
          <w:sz w:val="24"/>
        </w:rPr>
      </w:pPr>
      <w:r w:rsidRPr="00D91118">
        <w:rPr>
          <w:rFonts w:ascii="Times New Roman"/>
          <w:sz w:val="24"/>
        </w:rPr>
        <w:t>北京中同</w:t>
      </w:r>
      <w:proofErr w:type="gramStart"/>
      <w:r w:rsidRPr="00D91118">
        <w:rPr>
          <w:rFonts w:ascii="Times New Roman"/>
          <w:sz w:val="24"/>
        </w:rPr>
        <w:t>华资产</w:t>
      </w:r>
      <w:proofErr w:type="gramEnd"/>
      <w:r w:rsidRPr="00D91118">
        <w:rPr>
          <w:rFonts w:ascii="Times New Roman"/>
          <w:sz w:val="24"/>
        </w:rPr>
        <w:t>评估有限公司（以下简称</w:t>
      </w:r>
      <w:r w:rsidRPr="00D91118">
        <w:rPr>
          <w:rFonts w:ascii="Times New Roman"/>
          <w:sz w:val="24"/>
        </w:rPr>
        <w:t>“</w:t>
      </w:r>
      <w:r w:rsidRPr="00D91118">
        <w:rPr>
          <w:rFonts w:ascii="Times New Roman"/>
          <w:sz w:val="24"/>
        </w:rPr>
        <w:t>中同华</w:t>
      </w:r>
      <w:r w:rsidRPr="00D91118">
        <w:rPr>
          <w:rFonts w:ascii="Times New Roman"/>
          <w:sz w:val="24"/>
        </w:rPr>
        <w:t>”</w:t>
      </w:r>
      <w:r w:rsidRPr="00D91118">
        <w:rPr>
          <w:rFonts w:ascii="Times New Roman"/>
          <w:sz w:val="24"/>
        </w:rPr>
        <w:t>或我公司）接受贵单位的委托，根据有关法律、法规和资产评估准则、资产评估原则，采用公认的评估方法，按照必要的评估程序，对</w:t>
      </w:r>
      <w:r w:rsidRPr="000F6137">
        <w:rPr>
          <w:rFonts w:ascii="Times New Roman" w:hint="eastAsia"/>
          <w:sz w:val="24"/>
        </w:rPr>
        <w:t>弥渡县兴达酒精物资储运有限公司</w:t>
      </w:r>
      <w:r w:rsidRPr="00D91118">
        <w:rPr>
          <w:rFonts w:ascii="Times New Roman"/>
          <w:sz w:val="24"/>
        </w:rPr>
        <w:t>的股东</w:t>
      </w:r>
      <w:r>
        <w:rPr>
          <w:rFonts w:ascii="Times New Roman" w:hint="eastAsia"/>
          <w:sz w:val="24"/>
        </w:rPr>
        <w:t>部分</w:t>
      </w:r>
      <w:r w:rsidRPr="00D91118">
        <w:rPr>
          <w:rFonts w:ascii="Times New Roman"/>
          <w:sz w:val="24"/>
        </w:rPr>
        <w:t>权益在评估基准日的市场价值进行了评估。现将评估报告摘要如下：</w:t>
      </w:r>
    </w:p>
    <w:p w:rsidR="00465E67" w:rsidRPr="00D91118" w:rsidRDefault="00465E67" w:rsidP="00465E67">
      <w:pPr>
        <w:pStyle w:val="a3"/>
        <w:spacing w:line="360" w:lineRule="auto"/>
        <w:ind w:firstLineChars="200" w:firstLine="480"/>
        <w:rPr>
          <w:rFonts w:ascii="Times New Roman"/>
          <w:sz w:val="24"/>
        </w:rPr>
      </w:pPr>
      <w:r w:rsidRPr="00D91118">
        <w:rPr>
          <w:rFonts w:ascii="Times New Roman"/>
          <w:sz w:val="24"/>
        </w:rPr>
        <w:t>评估目的：</w:t>
      </w:r>
      <w:r w:rsidRPr="000F6137">
        <w:rPr>
          <w:rFonts w:ascii="Times New Roman" w:hint="eastAsia"/>
          <w:sz w:val="24"/>
        </w:rPr>
        <w:t>云南云维糖业有限公司</w:t>
      </w:r>
      <w:r>
        <w:rPr>
          <w:rFonts w:ascii="Times New Roman" w:hint="eastAsia"/>
          <w:sz w:val="24"/>
        </w:rPr>
        <w:t>拟</w:t>
      </w:r>
      <w:r w:rsidRPr="000F6137">
        <w:rPr>
          <w:rFonts w:ascii="Times New Roman" w:hint="eastAsia"/>
          <w:sz w:val="24"/>
        </w:rPr>
        <w:t>公开挂牌转让</w:t>
      </w:r>
      <w:r>
        <w:rPr>
          <w:rFonts w:ascii="Times New Roman" w:hint="eastAsia"/>
          <w:sz w:val="24"/>
        </w:rPr>
        <w:t>所</w:t>
      </w:r>
      <w:r w:rsidRPr="000F6137">
        <w:rPr>
          <w:rFonts w:ascii="Times New Roman" w:hint="eastAsia"/>
          <w:sz w:val="24"/>
        </w:rPr>
        <w:t>持有的弥渡兴达酒精物资储运有限公司</w:t>
      </w:r>
      <w:r w:rsidRPr="000F6137">
        <w:rPr>
          <w:rFonts w:ascii="Times New Roman" w:hint="eastAsia"/>
          <w:sz w:val="24"/>
        </w:rPr>
        <w:t>85%</w:t>
      </w:r>
      <w:r w:rsidRPr="000F6137">
        <w:rPr>
          <w:rFonts w:ascii="Times New Roman" w:hint="eastAsia"/>
          <w:sz w:val="24"/>
        </w:rPr>
        <w:t>股权</w:t>
      </w:r>
      <w:r w:rsidRPr="00D91118">
        <w:rPr>
          <w:rFonts w:ascii="Times New Roman"/>
          <w:sz w:val="24"/>
        </w:rPr>
        <w:t>，需对该事宜所涉及的</w:t>
      </w:r>
      <w:r w:rsidRPr="005442AB">
        <w:rPr>
          <w:rFonts w:ascii="Times New Roman" w:hint="eastAsia"/>
          <w:sz w:val="24"/>
        </w:rPr>
        <w:t>弥渡兴达酒精物资储运有限公司</w:t>
      </w:r>
      <w:r w:rsidRPr="00D91118">
        <w:rPr>
          <w:rFonts w:ascii="Times New Roman"/>
          <w:sz w:val="24"/>
        </w:rPr>
        <w:t>股东</w:t>
      </w:r>
      <w:r>
        <w:rPr>
          <w:rFonts w:ascii="Times New Roman" w:hint="eastAsia"/>
          <w:sz w:val="24"/>
        </w:rPr>
        <w:t>部分</w:t>
      </w:r>
      <w:r w:rsidRPr="00D91118">
        <w:rPr>
          <w:rFonts w:ascii="Times New Roman"/>
          <w:sz w:val="24"/>
        </w:rPr>
        <w:t>权益价值进行评估，为上述经济行为提供价值参考依据。</w:t>
      </w:r>
    </w:p>
    <w:p w:rsidR="00465E67" w:rsidRPr="00D91118" w:rsidRDefault="00465E67" w:rsidP="00465E67">
      <w:pPr>
        <w:pStyle w:val="a3"/>
        <w:spacing w:line="360" w:lineRule="auto"/>
        <w:ind w:firstLineChars="200" w:firstLine="480"/>
        <w:rPr>
          <w:rFonts w:ascii="Times New Roman"/>
          <w:sz w:val="24"/>
        </w:rPr>
      </w:pPr>
      <w:r w:rsidRPr="00D91118">
        <w:rPr>
          <w:rFonts w:ascii="Times New Roman"/>
          <w:sz w:val="24"/>
        </w:rPr>
        <w:t>评估对象：</w:t>
      </w:r>
      <w:r w:rsidRPr="005442AB">
        <w:rPr>
          <w:rFonts w:ascii="Times New Roman" w:hint="eastAsia"/>
          <w:sz w:val="24"/>
        </w:rPr>
        <w:t>弥渡兴达酒精物资储运有限公司</w:t>
      </w:r>
      <w:r w:rsidRPr="00D91118">
        <w:rPr>
          <w:rFonts w:ascii="Times New Roman"/>
          <w:sz w:val="24"/>
        </w:rPr>
        <w:t>的股东</w:t>
      </w:r>
      <w:r>
        <w:rPr>
          <w:rFonts w:ascii="Times New Roman" w:hint="eastAsia"/>
          <w:sz w:val="24"/>
        </w:rPr>
        <w:t>部分</w:t>
      </w:r>
      <w:r w:rsidRPr="00D91118">
        <w:rPr>
          <w:rFonts w:ascii="Times New Roman"/>
          <w:sz w:val="24"/>
        </w:rPr>
        <w:t>权益。</w:t>
      </w:r>
    </w:p>
    <w:p w:rsidR="00465E67" w:rsidRPr="00D91118" w:rsidRDefault="00465E67" w:rsidP="00465E67">
      <w:pPr>
        <w:pStyle w:val="a3"/>
        <w:spacing w:line="360" w:lineRule="auto"/>
        <w:ind w:firstLineChars="200" w:firstLine="480"/>
        <w:rPr>
          <w:rFonts w:ascii="Times New Roman"/>
          <w:sz w:val="24"/>
        </w:rPr>
      </w:pPr>
      <w:r w:rsidRPr="00D91118">
        <w:rPr>
          <w:rFonts w:ascii="Times New Roman"/>
          <w:sz w:val="24"/>
        </w:rPr>
        <w:t>评估范围：</w:t>
      </w:r>
      <w:r w:rsidRPr="005442AB">
        <w:rPr>
          <w:rFonts w:ascii="Times New Roman" w:hint="eastAsia"/>
          <w:sz w:val="24"/>
        </w:rPr>
        <w:t>弥渡兴达酒精物资储运有限公司</w:t>
      </w:r>
      <w:r w:rsidRPr="00D91118">
        <w:rPr>
          <w:rFonts w:ascii="Times New Roman"/>
          <w:sz w:val="24"/>
        </w:rPr>
        <w:t>的全部资产及负债，包括流动资产、固定资产、无形资产、</w:t>
      </w:r>
      <w:r>
        <w:rPr>
          <w:rFonts w:ascii="Times New Roman" w:hint="eastAsia"/>
          <w:sz w:val="24"/>
        </w:rPr>
        <w:t>长期</w:t>
      </w:r>
      <w:r>
        <w:rPr>
          <w:rFonts w:ascii="Times New Roman"/>
          <w:sz w:val="24"/>
        </w:rPr>
        <w:t>待摊费用</w:t>
      </w:r>
      <w:r w:rsidRPr="00D91118">
        <w:rPr>
          <w:rFonts w:ascii="Times New Roman"/>
          <w:sz w:val="24"/>
        </w:rPr>
        <w:t>和流动负债。</w:t>
      </w:r>
    </w:p>
    <w:p w:rsidR="00465E67" w:rsidRPr="00D91118" w:rsidRDefault="00465E67" w:rsidP="00465E67">
      <w:pPr>
        <w:pStyle w:val="a3"/>
        <w:spacing w:line="360" w:lineRule="auto"/>
        <w:ind w:firstLineChars="200" w:firstLine="480"/>
        <w:rPr>
          <w:rFonts w:ascii="Times New Roman"/>
          <w:sz w:val="24"/>
        </w:rPr>
      </w:pPr>
      <w:r w:rsidRPr="00D91118">
        <w:rPr>
          <w:rFonts w:ascii="Times New Roman"/>
          <w:sz w:val="24"/>
        </w:rPr>
        <w:t>评估基准日：</w:t>
      </w:r>
      <w:r w:rsidRPr="00D91118">
        <w:rPr>
          <w:rFonts w:ascii="Times New Roman"/>
          <w:sz w:val="24"/>
        </w:rPr>
        <w:t>201</w:t>
      </w:r>
      <w:r>
        <w:rPr>
          <w:rFonts w:ascii="Times New Roman"/>
          <w:sz w:val="24"/>
        </w:rPr>
        <w:t>9</w:t>
      </w:r>
      <w:r w:rsidRPr="00D91118">
        <w:rPr>
          <w:rFonts w:ascii="Times New Roman"/>
          <w:sz w:val="24"/>
        </w:rPr>
        <w:t>年</w:t>
      </w:r>
      <w:r w:rsidRPr="00D91118">
        <w:rPr>
          <w:rFonts w:ascii="Times New Roman"/>
          <w:sz w:val="24"/>
        </w:rPr>
        <w:t>1</w:t>
      </w:r>
      <w:r>
        <w:rPr>
          <w:rFonts w:ascii="Times New Roman"/>
          <w:sz w:val="24"/>
        </w:rPr>
        <w:t>1</w:t>
      </w:r>
      <w:r w:rsidRPr="00D91118">
        <w:rPr>
          <w:rFonts w:ascii="Times New Roman"/>
          <w:sz w:val="24"/>
        </w:rPr>
        <w:t>月</w:t>
      </w:r>
      <w:r w:rsidRPr="00D91118">
        <w:rPr>
          <w:rFonts w:ascii="Times New Roman"/>
          <w:sz w:val="24"/>
        </w:rPr>
        <w:t>3</w:t>
      </w:r>
      <w:r>
        <w:rPr>
          <w:rFonts w:ascii="Times New Roman"/>
          <w:sz w:val="24"/>
        </w:rPr>
        <w:t>0</w:t>
      </w:r>
      <w:r w:rsidRPr="00D91118">
        <w:rPr>
          <w:rFonts w:ascii="Times New Roman"/>
          <w:sz w:val="24"/>
        </w:rPr>
        <w:t>日。</w:t>
      </w:r>
    </w:p>
    <w:p w:rsidR="00465E67" w:rsidRPr="00D91118" w:rsidRDefault="00465E67" w:rsidP="00465E67">
      <w:pPr>
        <w:pStyle w:val="a3"/>
        <w:spacing w:line="360" w:lineRule="auto"/>
        <w:ind w:firstLineChars="200" w:firstLine="480"/>
        <w:rPr>
          <w:rFonts w:ascii="Times New Roman"/>
          <w:sz w:val="24"/>
        </w:rPr>
      </w:pPr>
      <w:r w:rsidRPr="00D91118">
        <w:rPr>
          <w:rFonts w:ascii="Times New Roman"/>
          <w:sz w:val="24"/>
        </w:rPr>
        <w:t>价值类型：市场价值</w:t>
      </w:r>
      <w:r w:rsidRPr="00D91118">
        <w:rPr>
          <w:rFonts w:ascii="Times New Roman" w:hint="eastAsia"/>
          <w:sz w:val="24"/>
        </w:rPr>
        <w:t>。</w:t>
      </w:r>
    </w:p>
    <w:p w:rsidR="00465E67" w:rsidRPr="00D91118" w:rsidRDefault="00465E67" w:rsidP="00465E67">
      <w:pPr>
        <w:pStyle w:val="a3"/>
        <w:spacing w:line="360" w:lineRule="auto"/>
        <w:ind w:firstLineChars="200" w:firstLine="480"/>
        <w:rPr>
          <w:rFonts w:ascii="Times New Roman"/>
          <w:sz w:val="24"/>
        </w:rPr>
      </w:pPr>
      <w:r w:rsidRPr="00D91118">
        <w:rPr>
          <w:rFonts w:ascii="Times New Roman"/>
          <w:sz w:val="24"/>
        </w:rPr>
        <w:t>评估方法：资产基础法</w:t>
      </w:r>
      <w:r w:rsidRPr="00D91118">
        <w:rPr>
          <w:rFonts w:ascii="Times New Roman" w:hint="eastAsia"/>
          <w:sz w:val="24"/>
        </w:rPr>
        <w:t>。</w:t>
      </w:r>
    </w:p>
    <w:p w:rsidR="00465E67" w:rsidRPr="00D91118" w:rsidRDefault="00465E67" w:rsidP="00465E67">
      <w:pPr>
        <w:pStyle w:val="a3"/>
        <w:spacing w:line="360" w:lineRule="auto"/>
        <w:ind w:firstLineChars="200" w:firstLine="480"/>
        <w:rPr>
          <w:rFonts w:ascii="Times New Roman"/>
          <w:sz w:val="24"/>
        </w:rPr>
      </w:pPr>
      <w:r w:rsidRPr="00D91118">
        <w:rPr>
          <w:rFonts w:ascii="Times New Roman"/>
          <w:sz w:val="24"/>
        </w:rPr>
        <w:t>评估结论：</w:t>
      </w:r>
      <w:proofErr w:type="gramStart"/>
      <w:r w:rsidRPr="00D91118">
        <w:rPr>
          <w:rFonts w:ascii="Times New Roman"/>
          <w:sz w:val="24"/>
        </w:rPr>
        <w:t>本资产</w:t>
      </w:r>
      <w:proofErr w:type="gramEnd"/>
      <w:r w:rsidRPr="00D91118">
        <w:rPr>
          <w:rFonts w:ascii="Times New Roman"/>
          <w:sz w:val="24"/>
        </w:rPr>
        <w:t>评估报告选用资产基础法评估结果作为评估结论。具体结论如下：</w:t>
      </w:r>
    </w:p>
    <w:p w:rsidR="00465E67" w:rsidRPr="00D91118" w:rsidRDefault="00465E67" w:rsidP="00465E67">
      <w:pPr>
        <w:spacing w:before="120" w:after="120"/>
        <w:jc w:val="center"/>
        <w:rPr>
          <w:sz w:val="28"/>
        </w:rPr>
      </w:pPr>
      <w:r w:rsidRPr="00D91118">
        <w:rPr>
          <w:b/>
          <w:bCs/>
          <w:sz w:val="24"/>
        </w:rPr>
        <w:t>资产评估结果汇总表</w:t>
      </w:r>
    </w:p>
    <w:p w:rsidR="00465E67" w:rsidRDefault="00465E67" w:rsidP="00465E67">
      <w:pPr>
        <w:ind w:right="210"/>
        <w:jc w:val="right"/>
        <w:rPr>
          <w:szCs w:val="21"/>
        </w:rPr>
      </w:pPr>
      <w:r w:rsidRPr="00D91118">
        <w:rPr>
          <w:szCs w:val="21"/>
        </w:rPr>
        <w:t>金额单位：人民币万元</w:t>
      </w:r>
    </w:p>
    <w:tbl>
      <w:tblPr>
        <w:tblW w:w="4497" w:type="pct"/>
        <w:jc w:val="center"/>
        <w:tblLook w:val="04A0"/>
      </w:tblPr>
      <w:tblGrid>
        <w:gridCol w:w="2717"/>
        <w:gridCol w:w="477"/>
        <w:gridCol w:w="1206"/>
        <w:gridCol w:w="1130"/>
        <w:gridCol w:w="1008"/>
        <w:gridCol w:w="1132"/>
      </w:tblGrid>
      <w:tr w:rsidR="00465E67" w:rsidRPr="00746B42" w:rsidTr="00164A04">
        <w:trPr>
          <w:trHeight w:val="332"/>
          <w:tblHeader/>
          <w:jc w:val="center"/>
        </w:trPr>
        <w:tc>
          <w:tcPr>
            <w:tcW w:w="2102"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项</w:t>
            </w:r>
            <w:r w:rsidRPr="00746B42">
              <w:rPr>
                <w:b/>
                <w:bCs/>
                <w:kern w:val="0"/>
                <w:sz w:val="18"/>
                <w:szCs w:val="18"/>
              </w:rPr>
              <w:t xml:space="preserve">      </w:t>
            </w:r>
            <w:r w:rsidRPr="00746B42">
              <w:rPr>
                <w:b/>
                <w:bCs/>
                <w:kern w:val="0"/>
                <w:sz w:val="18"/>
                <w:szCs w:val="18"/>
              </w:rPr>
              <w:t>目</w:t>
            </w:r>
          </w:p>
        </w:tc>
        <w:tc>
          <w:tcPr>
            <w:tcW w:w="796" w:type="pct"/>
            <w:tcBorders>
              <w:top w:val="single" w:sz="4" w:space="0" w:color="auto"/>
              <w:left w:val="nil"/>
              <w:bottom w:val="single" w:sz="4" w:space="0" w:color="auto"/>
              <w:right w:val="single" w:sz="4" w:space="0" w:color="auto"/>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账面净值</w:t>
            </w:r>
          </w:p>
        </w:tc>
        <w:tc>
          <w:tcPr>
            <w:tcW w:w="746" w:type="pct"/>
            <w:tcBorders>
              <w:top w:val="single" w:sz="4" w:space="0" w:color="auto"/>
              <w:left w:val="nil"/>
              <w:bottom w:val="single" w:sz="4" w:space="0" w:color="auto"/>
              <w:right w:val="single" w:sz="4" w:space="0" w:color="auto"/>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评估价值</w:t>
            </w:r>
          </w:p>
        </w:tc>
        <w:tc>
          <w:tcPr>
            <w:tcW w:w="666" w:type="pct"/>
            <w:tcBorders>
              <w:top w:val="single" w:sz="4" w:space="0" w:color="auto"/>
              <w:left w:val="nil"/>
              <w:bottom w:val="single" w:sz="4" w:space="0" w:color="auto"/>
              <w:right w:val="single" w:sz="4" w:space="0" w:color="auto"/>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增减值</w:t>
            </w:r>
          </w:p>
        </w:tc>
        <w:tc>
          <w:tcPr>
            <w:tcW w:w="690" w:type="pct"/>
            <w:tcBorders>
              <w:top w:val="single" w:sz="4" w:space="0" w:color="auto"/>
              <w:left w:val="nil"/>
              <w:bottom w:val="single" w:sz="4" w:space="0" w:color="auto"/>
              <w:right w:val="single" w:sz="4" w:space="0" w:color="auto"/>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增值率</w:t>
            </w:r>
            <w:r w:rsidRPr="00746B42">
              <w:rPr>
                <w:b/>
                <w:bCs/>
                <w:kern w:val="0"/>
                <w:sz w:val="18"/>
                <w:szCs w:val="18"/>
              </w:rPr>
              <w:t>%</w:t>
            </w:r>
          </w:p>
        </w:tc>
      </w:tr>
      <w:tr w:rsidR="00465E67" w:rsidRPr="00746B42" w:rsidTr="00164A04">
        <w:trPr>
          <w:trHeight w:val="332"/>
          <w:tblHeader/>
          <w:jc w:val="center"/>
        </w:trPr>
        <w:tc>
          <w:tcPr>
            <w:tcW w:w="2102" w:type="pct"/>
            <w:gridSpan w:val="2"/>
            <w:vMerge/>
            <w:tcBorders>
              <w:top w:val="single" w:sz="4" w:space="0" w:color="auto"/>
              <w:left w:val="single" w:sz="4" w:space="0" w:color="auto"/>
              <w:bottom w:val="single" w:sz="4" w:space="0" w:color="000000"/>
              <w:right w:val="single" w:sz="4" w:space="0" w:color="000000"/>
            </w:tcBorders>
            <w:vAlign w:val="center"/>
            <w:hideMark/>
          </w:tcPr>
          <w:p w:rsidR="00465E67" w:rsidRPr="00746B42" w:rsidRDefault="00465E67" w:rsidP="00164A04">
            <w:pPr>
              <w:widowControl/>
              <w:jc w:val="left"/>
              <w:rPr>
                <w:b/>
                <w:bCs/>
                <w:kern w:val="0"/>
                <w:sz w:val="18"/>
                <w:szCs w:val="18"/>
              </w:rPr>
            </w:pPr>
          </w:p>
        </w:tc>
        <w:tc>
          <w:tcPr>
            <w:tcW w:w="796" w:type="pct"/>
            <w:tcBorders>
              <w:top w:val="nil"/>
              <w:left w:val="nil"/>
              <w:bottom w:val="single" w:sz="4" w:space="0" w:color="auto"/>
              <w:right w:val="single" w:sz="4" w:space="0" w:color="auto"/>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A</w:t>
            </w:r>
          </w:p>
        </w:tc>
        <w:tc>
          <w:tcPr>
            <w:tcW w:w="746" w:type="pct"/>
            <w:tcBorders>
              <w:top w:val="nil"/>
              <w:left w:val="nil"/>
              <w:bottom w:val="single" w:sz="4" w:space="0" w:color="auto"/>
              <w:right w:val="single" w:sz="4" w:space="0" w:color="auto"/>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B</w:t>
            </w:r>
          </w:p>
        </w:tc>
        <w:tc>
          <w:tcPr>
            <w:tcW w:w="666" w:type="pct"/>
            <w:tcBorders>
              <w:top w:val="nil"/>
              <w:left w:val="nil"/>
              <w:bottom w:val="single" w:sz="4" w:space="0" w:color="auto"/>
              <w:right w:val="single" w:sz="4" w:space="0" w:color="auto"/>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C=B-A</w:t>
            </w:r>
          </w:p>
        </w:tc>
        <w:tc>
          <w:tcPr>
            <w:tcW w:w="690" w:type="pct"/>
            <w:tcBorders>
              <w:top w:val="nil"/>
              <w:left w:val="nil"/>
              <w:bottom w:val="single" w:sz="4" w:space="0" w:color="auto"/>
              <w:right w:val="single" w:sz="4" w:space="0" w:color="auto"/>
            </w:tcBorders>
            <w:shd w:val="clear" w:color="auto" w:fill="auto"/>
            <w:vAlign w:val="center"/>
            <w:hideMark/>
          </w:tcPr>
          <w:p w:rsidR="00465E67" w:rsidRPr="00746B42" w:rsidRDefault="00465E67" w:rsidP="00164A04">
            <w:pPr>
              <w:widowControl/>
              <w:jc w:val="center"/>
              <w:rPr>
                <w:b/>
                <w:bCs/>
                <w:kern w:val="0"/>
                <w:sz w:val="18"/>
                <w:szCs w:val="18"/>
              </w:rPr>
            </w:pPr>
            <w:r w:rsidRPr="00746B42">
              <w:rPr>
                <w:b/>
                <w:bCs/>
                <w:kern w:val="0"/>
                <w:sz w:val="18"/>
                <w:szCs w:val="18"/>
              </w:rPr>
              <w:t>D=C/A×100</w:t>
            </w:r>
          </w:p>
        </w:tc>
      </w:tr>
      <w:tr w:rsidR="00465E67" w:rsidRPr="00746B42" w:rsidTr="00164A04">
        <w:trPr>
          <w:trHeight w:val="360"/>
          <w:jc w:val="center"/>
        </w:trPr>
        <w:tc>
          <w:tcPr>
            <w:tcW w:w="1781"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E67" w:rsidRPr="00746B42" w:rsidRDefault="00465E67" w:rsidP="00164A04">
            <w:pPr>
              <w:rPr>
                <w:sz w:val="18"/>
                <w:szCs w:val="18"/>
              </w:rPr>
            </w:pPr>
            <w:r w:rsidRPr="00746B42">
              <w:rPr>
                <w:sz w:val="18"/>
                <w:szCs w:val="18"/>
              </w:rPr>
              <w:t>流动资产</w:t>
            </w:r>
          </w:p>
        </w:tc>
        <w:tc>
          <w:tcPr>
            <w:tcW w:w="321" w:type="pct"/>
            <w:tcBorders>
              <w:top w:val="nil"/>
              <w:left w:val="nil"/>
              <w:bottom w:val="single" w:sz="4" w:space="0" w:color="auto"/>
              <w:right w:val="single" w:sz="4" w:space="0" w:color="auto"/>
            </w:tcBorders>
            <w:shd w:val="clear" w:color="auto" w:fill="auto"/>
            <w:noWrap/>
            <w:vAlign w:val="center"/>
            <w:hideMark/>
          </w:tcPr>
          <w:p w:rsidR="00465E67" w:rsidRPr="00746B42" w:rsidRDefault="00465E67" w:rsidP="00164A04">
            <w:pPr>
              <w:jc w:val="center"/>
              <w:rPr>
                <w:sz w:val="18"/>
                <w:szCs w:val="18"/>
              </w:rPr>
            </w:pPr>
            <w:r w:rsidRPr="00746B42">
              <w:rPr>
                <w:sz w:val="18"/>
                <w:szCs w:val="18"/>
              </w:rPr>
              <w:t>1</w:t>
            </w:r>
          </w:p>
        </w:tc>
        <w:tc>
          <w:tcPr>
            <w:tcW w:w="79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369.91 </w:t>
            </w:r>
          </w:p>
        </w:tc>
        <w:tc>
          <w:tcPr>
            <w:tcW w:w="74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369.91 </w:t>
            </w:r>
          </w:p>
        </w:tc>
        <w:tc>
          <w:tcPr>
            <w:tcW w:w="66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   </w:t>
            </w:r>
          </w:p>
        </w:tc>
      </w:tr>
      <w:tr w:rsidR="00465E67" w:rsidRPr="00746B42" w:rsidTr="00164A04">
        <w:trPr>
          <w:trHeight w:val="360"/>
          <w:jc w:val="center"/>
        </w:trPr>
        <w:tc>
          <w:tcPr>
            <w:tcW w:w="1781"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E67" w:rsidRPr="00746B42" w:rsidRDefault="00465E67" w:rsidP="00164A04">
            <w:pPr>
              <w:rPr>
                <w:sz w:val="18"/>
                <w:szCs w:val="18"/>
              </w:rPr>
            </w:pPr>
            <w:r w:rsidRPr="00746B42">
              <w:rPr>
                <w:sz w:val="18"/>
                <w:szCs w:val="18"/>
              </w:rPr>
              <w:t>非流动资产</w:t>
            </w:r>
          </w:p>
        </w:tc>
        <w:tc>
          <w:tcPr>
            <w:tcW w:w="321" w:type="pct"/>
            <w:tcBorders>
              <w:top w:val="nil"/>
              <w:left w:val="nil"/>
              <w:bottom w:val="single" w:sz="4" w:space="0" w:color="auto"/>
              <w:right w:val="single" w:sz="4" w:space="0" w:color="auto"/>
            </w:tcBorders>
            <w:shd w:val="clear" w:color="auto" w:fill="auto"/>
            <w:noWrap/>
            <w:vAlign w:val="center"/>
            <w:hideMark/>
          </w:tcPr>
          <w:p w:rsidR="00465E67" w:rsidRPr="00746B42" w:rsidRDefault="00465E67" w:rsidP="00164A04">
            <w:pPr>
              <w:jc w:val="center"/>
              <w:rPr>
                <w:sz w:val="18"/>
                <w:szCs w:val="18"/>
              </w:rPr>
            </w:pPr>
            <w:r w:rsidRPr="00746B42">
              <w:rPr>
                <w:sz w:val="18"/>
                <w:szCs w:val="18"/>
              </w:rPr>
              <w:t>2</w:t>
            </w:r>
          </w:p>
        </w:tc>
        <w:tc>
          <w:tcPr>
            <w:tcW w:w="79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355.29 </w:t>
            </w:r>
          </w:p>
        </w:tc>
        <w:tc>
          <w:tcPr>
            <w:tcW w:w="74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462.45 </w:t>
            </w:r>
          </w:p>
        </w:tc>
        <w:tc>
          <w:tcPr>
            <w:tcW w:w="66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107.16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30.16 </w:t>
            </w:r>
          </w:p>
        </w:tc>
      </w:tr>
      <w:tr w:rsidR="00465E67" w:rsidRPr="00746B42" w:rsidTr="00164A04">
        <w:trPr>
          <w:trHeight w:val="360"/>
          <w:jc w:val="center"/>
        </w:trPr>
        <w:tc>
          <w:tcPr>
            <w:tcW w:w="1781" w:type="pct"/>
            <w:tcBorders>
              <w:top w:val="nil"/>
              <w:left w:val="single" w:sz="4" w:space="0" w:color="auto"/>
              <w:bottom w:val="single" w:sz="4" w:space="0" w:color="auto"/>
              <w:right w:val="single" w:sz="4" w:space="0" w:color="auto"/>
            </w:tcBorders>
            <w:shd w:val="clear" w:color="auto" w:fill="auto"/>
            <w:noWrap/>
            <w:vAlign w:val="center"/>
            <w:hideMark/>
          </w:tcPr>
          <w:p w:rsidR="00465E67" w:rsidRPr="00746B42" w:rsidRDefault="00465E67" w:rsidP="00164A04">
            <w:pPr>
              <w:rPr>
                <w:sz w:val="18"/>
                <w:szCs w:val="18"/>
              </w:rPr>
            </w:pPr>
            <w:r w:rsidRPr="00746B42">
              <w:rPr>
                <w:sz w:val="18"/>
                <w:szCs w:val="18"/>
              </w:rPr>
              <w:t>其中：长期股权投资</w:t>
            </w:r>
          </w:p>
        </w:tc>
        <w:tc>
          <w:tcPr>
            <w:tcW w:w="321" w:type="pct"/>
            <w:tcBorders>
              <w:top w:val="nil"/>
              <w:left w:val="nil"/>
              <w:bottom w:val="single" w:sz="4" w:space="0" w:color="auto"/>
              <w:right w:val="single" w:sz="4" w:space="0" w:color="auto"/>
            </w:tcBorders>
            <w:shd w:val="clear" w:color="auto" w:fill="auto"/>
            <w:noWrap/>
            <w:vAlign w:val="center"/>
          </w:tcPr>
          <w:p w:rsidR="00465E67" w:rsidRPr="00746B42" w:rsidRDefault="00465E67" w:rsidP="00164A04">
            <w:pPr>
              <w:jc w:val="center"/>
              <w:rPr>
                <w:sz w:val="18"/>
                <w:szCs w:val="18"/>
              </w:rPr>
            </w:pPr>
            <w:r w:rsidRPr="00746B42">
              <w:rPr>
                <w:sz w:val="18"/>
                <w:szCs w:val="18"/>
              </w:rPr>
              <w:t>3</w:t>
            </w:r>
          </w:p>
        </w:tc>
        <w:tc>
          <w:tcPr>
            <w:tcW w:w="79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   </w:t>
            </w:r>
          </w:p>
        </w:tc>
        <w:tc>
          <w:tcPr>
            <w:tcW w:w="74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   </w:t>
            </w:r>
          </w:p>
        </w:tc>
        <w:tc>
          <w:tcPr>
            <w:tcW w:w="66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w:t>
            </w:r>
          </w:p>
        </w:tc>
      </w:tr>
      <w:tr w:rsidR="00465E67" w:rsidRPr="00746B42" w:rsidTr="00164A04">
        <w:trPr>
          <w:trHeight w:val="360"/>
          <w:jc w:val="center"/>
        </w:trPr>
        <w:tc>
          <w:tcPr>
            <w:tcW w:w="1781" w:type="pct"/>
            <w:tcBorders>
              <w:top w:val="nil"/>
              <w:left w:val="single" w:sz="4" w:space="0" w:color="auto"/>
              <w:bottom w:val="single" w:sz="4" w:space="0" w:color="auto"/>
              <w:right w:val="single" w:sz="4" w:space="0" w:color="auto"/>
            </w:tcBorders>
            <w:shd w:val="clear" w:color="auto" w:fill="auto"/>
            <w:noWrap/>
            <w:vAlign w:val="center"/>
            <w:hideMark/>
          </w:tcPr>
          <w:p w:rsidR="00465E67" w:rsidRPr="00746B42" w:rsidRDefault="00465E67" w:rsidP="00164A04">
            <w:pPr>
              <w:rPr>
                <w:sz w:val="18"/>
                <w:szCs w:val="18"/>
              </w:rPr>
            </w:pPr>
            <w:r w:rsidRPr="00746B42">
              <w:rPr>
                <w:sz w:val="18"/>
                <w:szCs w:val="18"/>
              </w:rPr>
              <w:lastRenderedPageBreak/>
              <w:t xml:space="preserve">　　　投资性房地产</w:t>
            </w:r>
          </w:p>
        </w:tc>
        <w:tc>
          <w:tcPr>
            <w:tcW w:w="321" w:type="pct"/>
            <w:tcBorders>
              <w:top w:val="nil"/>
              <w:left w:val="nil"/>
              <w:bottom w:val="single" w:sz="4" w:space="0" w:color="auto"/>
              <w:right w:val="single" w:sz="4" w:space="0" w:color="auto"/>
            </w:tcBorders>
            <w:shd w:val="clear" w:color="auto" w:fill="auto"/>
            <w:noWrap/>
            <w:vAlign w:val="center"/>
          </w:tcPr>
          <w:p w:rsidR="00465E67" w:rsidRPr="00746B42" w:rsidRDefault="00465E67" w:rsidP="00164A04">
            <w:pPr>
              <w:jc w:val="center"/>
              <w:rPr>
                <w:sz w:val="18"/>
                <w:szCs w:val="18"/>
              </w:rPr>
            </w:pPr>
            <w:r w:rsidRPr="00746B42">
              <w:rPr>
                <w:sz w:val="18"/>
                <w:szCs w:val="18"/>
              </w:rPr>
              <w:t>4</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   </w:t>
            </w:r>
          </w:p>
        </w:tc>
        <w:tc>
          <w:tcPr>
            <w:tcW w:w="746" w:type="pct"/>
            <w:tcBorders>
              <w:top w:val="single" w:sz="4" w:space="0" w:color="auto"/>
              <w:left w:val="single" w:sz="4" w:space="0" w:color="auto"/>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   </w:t>
            </w:r>
          </w:p>
        </w:tc>
        <w:tc>
          <w:tcPr>
            <w:tcW w:w="666" w:type="pct"/>
            <w:tcBorders>
              <w:top w:val="single" w:sz="4" w:space="0" w:color="auto"/>
              <w:left w:val="single" w:sz="4" w:space="0" w:color="auto"/>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w:t>
            </w:r>
          </w:p>
        </w:tc>
        <w:tc>
          <w:tcPr>
            <w:tcW w:w="6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w:t>
            </w:r>
          </w:p>
        </w:tc>
      </w:tr>
      <w:tr w:rsidR="00465E67" w:rsidRPr="00746B42" w:rsidTr="00164A04">
        <w:trPr>
          <w:trHeight w:val="360"/>
          <w:jc w:val="center"/>
        </w:trPr>
        <w:tc>
          <w:tcPr>
            <w:tcW w:w="1781" w:type="pct"/>
            <w:tcBorders>
              <w:top w:val="nil"/>
              <w:left w:val="single" w:sz="4" w:space="0" w:color="auto"/>
              <w:bottom w:val="single" w:sz="4" w:space="0" w:color="auto"/>
              <w:right w:val="single" w:sz="4" w:space="0" w:color="auto"/>
            </w:tcBorders>
            <w:shd w:val="clear" w:color="auto" w:fill="auto"/>
            <w:noWrap/>
            <w:vAlign w:val="center"/>
            <w:hideMark/>
          </w:tcPr>
          <w:p w:rsidR="00465E67" w:rsidRPr="00746B42" w:rsidRDefault="00465E67" w:rsidP="00164A04">
            <w:pPr>
              <w:rPr>
                <w:sz w:val="18"/>
                <w:szCs w:val="18"/>
              </w:rPr>
            </w:pPr>
            <w:r w:rsidRPr="00746B42">
              <w:rPr>
                <w:sz w:val="18"/>
                <w:szCs w:val="18"/>
              </w:rPr>
              <w:t xml:space="preserve">　　　固定资产</w:t>
            </w:r>
          </w:p>
        </w:tc>
        <w:tc>
          <w:tcPr>
            <w:tcW w:w="321" w:type="pct"/>
            <w:tcBorders>
              <w:top w:val="nil"/>
              <w:left w:val="nil"/>
              <w:bottom w:val="single" w:sz="4" w:space="0" w:color="auto"/>
              <w:right w:val="single" w:sz="4" w:space="0" w:color="auto"/>
            </w:tcBorders>
            <w:shd w:val="clear" w:color="auto" w:fill="auto"/>
            <w:noWrap/>
            <w:vAlign w:val="center"/>
          </w:tcPr>
          <w:p w:rsidR="00465E67" w:rsidRPr="00746B42" w:rsidRDefault="00465E67" w:rsidP="00164A04">
            <w:pPr>
              <w:jc w:val="center"/>
              <w:rPr>
                <w:sz w:val="18"/>
                <w:szCs w:val="18"/>
              </w:rPr>
            </w:pPr>
            <w:r w:rsidRPr="00746B42">
              <w:rPr>
                <w:sz w:val="18"/>
                <w:szCs w:val="18"/>
              </w:rPr>
              <w:t>5</w:t>
            </w:r>
          </w:p>
        </w:tc>
        <w:tc>
          <w:tcPr>
            <w:tcW w:w="79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265.67 </w:t>
            </w:r>
          </w:p>
        </w:tc>
        <w:tc>
          <w:tcPr>
            <w:tcW w:w="74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307.08 </w:t>
            </w:r>
          </w:p>
        </w:tc>
        <w:tc>
          <w:tcPr>
            <w:tcW w:w="66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41.41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15.59 </w:t>
            </w:r>
          </w:p>
        </w:tc>
      </w:tr>
      <w:tr w:rsidR="00465E67" w:rsidRPr="00746B42" w:rsidTr="00164A04">
        <w:trPr>
          <w:trHeight w:val="360"/>
          <w:jc w:val="center"/>
        </w:trPr>
        <w:tc>
          <w:tcPr>
            <w:tcW w:w="1781" w:type="pct"/>
            <w:tcBorders>
              <w:top w:val="nil"/>
              <w:left w:val="single" w:sz="4" w:space="0" w:color="auto"/>
              <w:bottom w:val="single" w:sz="4" w:space="0" w:color="auto"/>
              <w:right w:val="single" w:sz="4" w:space="0" w:color="auto"/>
            </w:tcBorders>
            <w:shd w:val="clear" w:color="auto" w:fill="auto"/>
            <w:noWrap/>
            <w:vAlign w:val="center"/>
            <w:hideMark/>
          </w:tcPr>
          <w:p w:rsidR="00465E67" w:rsidRPr="00746B42" w:rsidRDefault="00465E67" w:rsidP="00164A04">
            <w:pPr>
              <w:rPr>
                <w:sz w:val="18"/>
                <w:szCs w:val="18"/>
              </w:rPr>
            </w:pPr>
            <w:r w:rsidRPr="00746B42">
              <w:rPr>
                <w:sz w:val="18"/>
                <w:szCs w:val="18"/>
              </w:rPr>
              <w:t xml:space="preserve">　　　在建工程</w:t>
            </w:r>
          </w:p>
        </w:tc>
        <w:tc>
          <w:tcPr>
            <w:tcW w:w="321" w:type="pct"/>
            <w:tcBorders>
              <w:top w:val="nil"/>
              <w:left w:val="nil"/>
              <w:bottom w:val="single" w:sz="4" w:space="0" w:color="auto"/>
              <w:right w:val="single" w:sz="4" w:space="0" w:color="auto"/>
            </w:tcBorders>
            <w:shd w:val="clear" w:color="auto" w:fill="auto"/>
            <w:noWrap/>
            <w:vAlign w:val="center"/>
          </w:tcPr>
          <w:p w:rsidR="00465E67" w:rsidRPr="00746B42" w:rsidRDefault="00465E67" w:rsidP="00164A04">
            <w:pPr>
              <w:jc w:val="center"/>
              <w:rPr>
                <w:sz w:val="18"/>
                <w:szCs w:val="18"/>
              </w:rPr>
            </w:pPr>
            <w:r w:rsidRPr="00746B42">
              <w:rPr>
                <w:sz w:val="18"/>
                <w:szCs w:val="18"/>
              </w:rPr>
              <w:t>6</w:t>
            </w:r>
          </w:p>
        </w:tc>
        <w:tc>
          <w:tcPr>
            <w:tcW w:w="79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   </w:t>
            </w:r>
          </w:p>
        </w:tc>
        <w:tc>
          <w:tcPr>
            <w:tcW w:w="74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   </w:t>
            </w:r>
          </w:p>
        </w:tc>
        <w:tc>
          <w:tcPr>
            <w:tcW w:w="66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w:t>
            </w:r>
          </w:p>
        </w:tc>
      </w:tr>
      <w:tr w:rsidR="00465E67" w:rsidRPr="00746B42" w:rsidTr="00164A04">
        <w:trPr>
          <w:trHeight w:val="360"/>
          <w:jc w:val="center"/>
        </w:trPr>
        <w:tc>
          <w:tcPr>
            <w:tcW w:w="1781" w:type="pct"/>
            <w:tcBorders>
              <w:top w:val="nil"/>
              <w:left w:val="single" w:sz="4" w:space="0" w:color="auto"/>
              <w:bottom w:val="single" w:sz="4" w:space="0" w:color="auto"/>
              <w:right w:val="single" w:sz="4" w:space="0" w:color="auto"/>
            </w:tcBorders>
            <w:shd w:val="clear" w:color="auto" w:fill="auto"/>
            <w:noWrap/>
            <w:vAlign w:val="center"/>
            <w:hideMark/>
          </w:tcPr>
          <w:p w:rsidR="00465E67" w:rsidRPr="00746B42" w:rsidRDefault="00465E67" w:rsidP="00164A04">
            <w:pPr>
              <w:rPr>
                <w:sz w:val="18"/>
                <w:szCs w:val="18"/>
              </w:rPr>
            </w:pPr>
            <w:r w:rsidRPr="00746B42">
              <w:rPr>
                <w:sz w:val="18"/>
                <w:szCs w:val="18"/>
              </w:rPr>
              <w:t xml:space="preserve">　　　无形资产</w:t>
            </w:r>
          </w:p>
        </w:tc>
        <w:tc>
          <w:tcPr>
            <w:tcW w:w="321" w:type="pct"/>
            <w:tcBorders>
              <w:top w:val="nil"/>
              <w:left w:val="nil"/>
              <w:bottom w:val="single" w:sz="4" w:space="0" w:color="auto"/>
              <w:right w:val="single" w:sz="4" w:space="0" w:color="auto"/>
            </w:tcBorders>
            <w:shd w:val="clear" w:color="auto" w:fill="auto"/>
            <w:noWrap/>
            <w:vAlign w:val="center"/>
          </w:tcPr>
          <w:p w:rsidR="00465E67" w:rsidRPr="00746B42" w:rsidRDefault="00465E67" w:rsidP="00164A04">
            <w:pPr>
              <w:jc w:val="center"/>
              <w:rPr>
                <w:sz w:val="18"/>
                <w:szCs w:val="18"/>
              </w:rPr>
            </w:pPr>
            <w:r w:rsidRPr="00746B42">
              <w:rPr>
                <w:sz w:val="18"/>
                <w:szCs w:val="18"/>
              </w:rPr>
              <w:t>7</w:t>
            </w:r>
          </w:p>
        </w:tc>
        <w:tc>
          <w:tcPr>
            <w:tcW w:w="79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69.21 </w:t>
            </w:r>
          </w:p>
        </w:tc>
        <w:tc>
          <w:tcPr>
            <w:tcW w:w="74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148.47 </w:t>
            </w:r>
          </w:p>
        </w:tc>
        <w:tc>
          <w:tcPr>
            <w:tcW w:w="66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79.26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114.51 </w:t>
            </w:r>
          </w:p>
        </w:tc>
      </w:tr>
      <w:tr w:rsidR="00465E67" w:rsidRPr="00746B42" w:rsidTr="00164A04">
        <w:trPr>
          <w:trHeight w:val="360"/>
          <w:jc w:val="center"/>
        </w:trPr>
        <w:tc>
          <w:tcPr>
            <w:tcW w:w="1781" w:type="pct"/>
            <w:tcBorders>
              <w:top w:val="nil"/>
              <w:left w:val="single" w:sz="4" w:space="0" w:color="auto"/>
              <w:bottom w:val="single" w:sz="4" w:space="0" w:color="auto"/>
              <w:right w:val="single" w:sz="4" w:space="0" w:color="auto"/>
            </w:tcBorders>
            <w:shd w:val="clear" w:color="auto" w:fill="auto"/>
            <w:noWrap/>
            <w:vAlign w:val="center"/>
            <w:hideMark/>
          </w:tcPr>
          <w:p w:rsidR="00465E67" w:rsidRPr="00746B42" w:rsidRDefault="00465E67" w:rsidP="00164A04">
            <w:pPr>
              <w:rPr>
                <w:sz w:val="18"/>
                <w:szCs w:val="18"/>
              </w:rPr>
            </w:pPr>
            <w:r w:rsidRPr="00746B42">
              <w:rPr>
                <w:sz w:val="18"/>
                <w:szCs w:val="18"/>
              </w:rPr>
              <w:t xml:space="preserve">　　　其中：土地使用权</w:t>
            </w:r>
          </w:p>
        </w:tc>
        <w:tc>
          <w:tcPr>
            <w:tcW w:w="321" w:type="pct"/>
            <w:tcBorders>
              <w:top w:val="nil"/>
              <w:left w:val="nil"/>
              <w:bottom w:val="single" w:sz="4" w:space="0" w:color="auto"/>
              <w:right w:val="single" w:sz="4" w:space="0" w:color="auto"/>
            </w:tcBorders>
            <w:shd w:val="clear" w:color="auto" w:fill="auto"/>
            <w:noWrap/>
            <w:vAlign w:val="center"/>
          </w:tcPr>
          <w:p w:rsidR="00465E67" w:rsidRPr="00746B42" w:rsidRDefault="00465E67" w:rsidP="00164A04">
            <w:pPr>
              <w:jc w:val="center"/>
              <w:rPr>
                <w:sz w:val="18"/>
                <w:szCs w:val="18"/>
              </w:rPr>
            </w:pPr>
            <w:r w:rsidRPr="00746B42">
              <w:rPr>
                <w:sz w:val="18"/>
                <w:szCs w:val="18"/>
              </w:rPr>
              <w:t>8</w:t>
            </w:r>
          </w:p>
        </w:tc>
        <w:tc>
          <w:tcPr>
            <w:tcW w:w="79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69.21 </w:t>
            </w:r>
          </w:p>
        </w:tc>
        <w:tc>
          <w:tcPr>
            <w:tcW w:w="74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148.47 </w:t>
            </w:r>
          </w:p>
        </w:tc>
        <w:tc>
          <w:tcPr>
            <w:tcW w:w="66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79.26 </w:t>
            </w:r>
          </w:p>
        </w:tc>
        <w:tc>
          <w:tcPr>
            <w:tcW w:w="6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114.51 </w:t>
            </w:r>
          </w:p>
        </w:tc>
      </w:tr>
      <w:tr w:rsidR="00465E67" w:rsidRPr="00746B42" w:rsidTr="00164A04">
        <w:trPr>
          <w:trHeight w:val="360"/>
          <w:jc w:val="center"/>
        </w:trPr>
        <w:tc>
          <w:tcPr>
            <w:tcW w:w="1781" w:type="pct"/>
            <w:tcBorders>
              <w:top w:val="nil"/>
              <w:left w:val="single" w:sz="4" w:space="0" w:color="auto"/>
              <w:bottom w:val="single" w:sz="4" w:space="0" w:color="auto"/>
              <w:right w:val="single" w:sz="4" w:space="0" w:color="auto"/>
            </w:tcBorders>
            <w:shd w:val="clear" w:color="auto" w:fill="auto"/>
            <w:noWrap/>
            <w:vAlign w:val="center"/>
            <w:hideMark/>
          </w:tcPr>
          <w:p w:rsidR="00465E67" w:rsidRPr="00746B42" w:rsidRDefault="00465E67" w:rsidP="00164A04">
            <w:pPr>
              <w:rPr>
                <w:sz w:val="18"/>
                <w:szCs w:val="18"/>
              </w:rPr>
            </w:pPr>
            <w:r w:rsidRPr="00746B42">
              <w:rPr>
                <w:sz w:val="18"/>
                <w:szCs w:val="18"/>
              </w:rPr>
              <w:t xml:space="preserve">　　　其他非流动资产</w:t>
            </w:r>
          </w:p>
        </w:tc>
        <w:tc>
          <w:tcPr>
            <w:tcW w:w="321" w:type="pct"/>
            <w:tcBorders>
              <w:top w:val="nil"/>
              <w:left w:val="nil"/>
              <w:bottom w:val="single" w:sz="4" w:space="0" w:color="auto"/>
              <w:right w:val="single" w:sz="4" w:space="0" w:color="auto"/>
            </w:tcBorders>
            <w:shd w:val="clear" w:color="auto" w:fill="auto"/>
            <w:noWrap/>
            <w:vAlign w:val="center"/>
          </w:tcPr>
          <w:p w:rsidR="00465E67" w:rsidRPr="00746B42" w:rsidRDefault="00465E67" w:rsidP="00164A04">
            <w:pPr>
              <w:jc w:val="center"/>
              <w:rPr>
                <w:sz w:val="18"/>
                <w:szCs w:val="18"/>
              </w:rPr>
            </w:pPr>
            <w:r w:rsidRPr="00746B42">
              <w:rPr>
                <w:sz w:val="18"/>
                <w:szCs w:val="18"/>
              </w:rPr>
              <w:t>9</w:t>
            </w:r>
          </w:p>
        </w:tc>
        <w:tc>
          <w:tcPr>
            <w:tcW w:w="79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20.41 </w:t>
            </w:r>
          </w:p>
        </w:tc>
        <w:tc>
          <w:tcPr>
            <w:tcW w:w="74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6.90 </w:t>
            </w:r>
          </w:p>
        </w:tc>
        <w:tc>
          <w:tcPr>
            <w:tcW w:w="666" w:type="pct"/>
            <w:tcBorders>
              <w:top w:val="nil"/>
              <w:left w:val="nil"/>
              <w:bottom w:val="single" w:sz="4" w:space="0" w:color="auto"/>
              <w:right w:val="single" w:sz="4" w:space="0" w:color="auto"/>
            </w:tcBorders>
            <w:shd w:val="clear" w:color="auto" w:fill="auto"/>
            <w:noWrap/>
            <w:vAlign w:val="center"/>
          </w:tcPr>
          <w:p w:rsidR="00465E67" w:rsidRPr="00FB302F" w:rsidRDefault="00465E67" w:rsidP="00164A04">
            <w:pPr>
              <w:jc w:val="right"/>
              <w:rPr>
                <w:sz w:val="18"/>
                <w:szCs w:val="18"/>
              </w:rPr>
            </w:pPr>
            <w:r w:rsidRPr="00FB302F">
              <w:rPr>
                <w:sz w:val="18"/>
                <w:szCs w:val="18"/>
              </w:rPr>
              <w:t xml:space="preserve"> -13.51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-66.19 </w:t>
            </w:r>
          </w:p>
        </w:tc>
      </w:tr>
      <w:tr w:rsidR="00465E67" w:rsidRPr="00746B42" w:rsidTr="00164A04">
        <w:trPr>
          <w:trHeight w:val="360"/>
          <w:jc w:val="center"/>
        </w:trPr>
        <w:tc>
          <w:tcPr>
            <w:tcW w:w="1781"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E67" w:rsidRPr="00746B42" w:rsidRDefault="00465E67" w:rsidP="00164A04">
            <w:pPr>
              <w:rPr>
                <w:b/>
                <w:sz w:val="18"/>
                <w:szCs w:val="18"/>
              </w:rPr>
            </w:pPr>
            <w:r w:rsidRPr="00746B42">
              <w:rPr>
                <w:b/>
                <w:sz w:val="18"/>
                <w:szCs w:val="18"/>
              </w:rPr>
              <w:t>资产总计</w:t>
            </w:r>
          </w:p>
        </w:tc>
        <w:tc>
          <w:tcPr>
            <w:tcW w:w="321" w:type="pct"/>
            <w:tcBorders>
              <w:top w:val="nil"/>
              <w:left w:val="nil"/>
              <w:bottom w:val="single" w:sz="4" w:space="0" w:color="auto"/>
              <w:right w:val="single" w:sz="4" w:space="0" w:color="auto"/>
            </w:tcBorders>
            <w:shd w:val="clear" w:color="auto" w:fill="auto"/>
            <w:noWrap/>
            <w:vAlign w:val="center"/>
            <w:hideMark/>
          </w:tcPr>
          <w:p w:rsidR="00465E67" w:rsidRPr="00746B42" w:rsidRDefault="00465E67" w:rsidP="00164A04">
            <w:pPr>
              <w:jc w:val="center"/>
              <w:rPr>
                <w:b/>
                <w:sz w:val="18"/>
                <w:szCs w:val="18"/>
              </w:rPr>
            </w:pPr>
            <w:r w:rsidRPr="00746B42">
              <w:rPr>
                <w:b/>
                <w:sz w:val="18"/>
                <w:szCs w:val="18"/>
              </w:rPr>
              <w:t>10</w:t>
            </w:r>
          </w:p>
        </w:tc>
        <w:tc>
          <w:tcPr>
            <w:tcW w:w="79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725.20 </w:t>
            </w:r>
          </w:p>
        </w:tc>
        <w:tc>
          <w:tcPr>
            <w:tcW w:w="74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832.36 </w:t>
            </w:r>
          </w:p>
        </w:tc>
        <w:tc>
          <w:tcPr>
            <w:tcW w:w="66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107.16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14.78 </w:t>
            </w:r>
          </w:p>
        </w:tc>
      </w:tr>
      <w:tr w:rsidR="00465E67" w:rsidRPr="00746B42" w:rsidTr="00164A04">
        <w:trPr>
          <w:trHeight w:val="360"/>
          <w:jc w:val="center"/>
        </w:trPr>
        <w:tc>
          <w:tcPr>
            <w:tcW w:w="1781"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E67" w:rsidRPr="00746B42" w:rsidRDefault="00465E67" w:rsidP="00164A04">
            <w:pPr>
              <w:rPr>
                <w:sz w:val="18"/>
                <w:szCs w:val="18"/>
              </w:rPr>
            </w:pPr>
            <w:r w:rsidRPr="00746B42">
              <w:rPr>
                <w:sz w:val="18"/>
                <w:szCs w:val="18"/>
              </w:rPr>
              <w:t>流动负债</w:t>
            </w:r>
          </w:p>
        </w:tc>
        <w:tc>
          <w:tcPr>
            <w:tcW w:w="321" w:type="pct"/>
            <w:tcBorders>
              <w:top w:val="nil"/>
              <w:left w:val="nil"/>
              <w:bottom w:val="single" w:sz="4" w:space="0" w:color="auto"/>
              <w:right w:val="single" w:sz="4" w:space="0" w:color="auto"/>
            </w:tcBorders>
            <w:shd w:val="clear" w:color="auto" w:fill="auto"/>
            <w:noWrap/>
            <w:vAlign w:val="center"/>
            <w:hideMark/>
          </w:tcPr>
          <w:p w:rsidR="00465E67" w:rsidRPr="00746B42" w:rsidRDefault="00465E67" w:rsidP="00164A04">
            <w:pPr>
              <w:jc w:val="center"/>
              <w:rPr>
                <w:sz w:val="18"/>
                <w:szCs w:val="18"/>
              </w:rPr>
            </w:pPr>
            <w:r w:rsidRPr="00746B42">
              <w:rPr>
                <w:sz w:val="18"/>
                <w:szCs w:val="18"/>
              </w:rPr>
              <w:t>11</w:t>
            </w:r>
          </w:p>
        </w:tc>
        <w:tc>
          <w:tcPr>
            <w:tcW w:w="79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27.28 </w:t>
            </w:r>
          </w:p>
        </w:tc>
        <w:tc>
          <w:tcPr>
            <w:tcW w:w="74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27.28 </w:t>
            </w:r>
          </w:p>
        </w:tc>
        <w:tc>
          <w:tcPr>
            <w:tcW w:w="6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   </w:t>
            </w:r>
          </w:p>
        </w:tc>
        <w:tc>
          <w:tcPr>
            <w:tcW w:w="6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   </w:t>
            </w:r>
          </w:p>
        </w:tc>
      </w:tr>
      <w:tr w:rsidR="00465E67" w:rsidRPr="00746B42" w:rsidTr="00164A04">
        <w:trPr>
          <w:trHeight w:val="360"/>
          <w:jc w:val="center"/>
        </w:trPr>
        <w:tc>
          <w:tcPr>
            <w:tcW w:w="1781"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E67" w:rsidRPr="00746B42" w:rsidRDefault="00465E67" w:rsidP="00164A04">
            <w:pPr>
              <w:rPr>
                <w:sz w:val="18"/>
                <w:szCs w:val="18"/>
              </w:rPr>
            </w:pPr>
            <w:r w:rsidRPr="00746B42">
              <w:rPr>
                <w:sz w:val="18"/>
                <w:szCs w:val="18"/>
              </w:rPr>
              <w:t>非流动负债</w:t>
            </w:r>
          </w:p>
        </w:tc>
        <w:tc>
          <w:tcPr>
            <w:tcW w:w="321" w:type="pct"/>
            <w:tcBorders>
              <w:top w:val="nil"/>
              <w:left w:val="nil"/>
              <w:bottom w:val="single" w:sz="4" w:space="0" w:color="auto"/>
              <w:right w:val="single" w:sz="4" w:space="0" w:color="auto"/>
            </w:tcBorders>
            <w:shd w:val="clear" w:color="auto" w:fill="auto"/>
            <w:noWrap/>
            <w:vAlign w:val="center"/>
            <w:hideMark/>
          </w:tcPr>
          <w:p w:rsidR="00465E67" w:rsidRPr="00746B42" w:rsidRDefault="00465E67" w:rsidP="00164A04">
            <w:pPr>
              <w:jc w:val="center"/>
              <w:rPr>
                <w:sz w:val="18"/>
                <w:szCs w:val="18"/>
              </w:rPr>
            </w:pPr>
            <w:r w:rsidRPr="00746B42">
              <w:rPr>
                <w:sz w:val="18"/>
                <w:szCs w:val="18"/>
              </w:rPr>
              <w:t>12</w:t>
            </w:r>
          </w:p>
        </w:tc>
        <w:tc>
          <w:tcPr>
            <w:tcW w:w="79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   </w:t>
            </w:r>
          </w:p>
        </w:tc>
        <w:tc>
          <w:tcPr>
            <w:tcW w:w="74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   </w:t>
            </w:r>
          </w:p>
        </w:tc>
        <w:tc>
          <w:tcPr>
            <w:tcW w:w="66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sz w:val="18"/>
                <w:szCs w:val="18"/>
              </w:rPr>
            </w:pPr>
            <w:r w:rsidRPr="00FB302F">
              <w:rPr>
                <w:sz w:val="18"/>
                <w:szCs w:val="18"/>
              </w:rPr>
              <w:t xml:space="preserve">  </w:t>
            </w:r>
          </w:p>
        </w:tc>
      </w:tr>
      <w:tr w:rsidR="00465E67" w:rsidRPr="00746B42" w:rsidTr="00164A04">
        <w:trPr>
          <w:trHeight w:val="360"/>
          <w:jc w:val="center"/>
        </w:trPr>
        <w:tc>
          <w:tcPr>
            <w:tcW w:w="1781"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E67" w:rsidRPr="00746B42" w:rsidRDefault="00465E67" w:rsidP="00164A04">
            <w:pPr>
              <w:rPr>
                <w:b/>
                <w:sz w:val="18"/>
                <w:szCs w:val="18"/>
              </w:rPr>
            </w:pPr>
            <w:r w:rsidRPr="00746B42">
              <w:rPr>
                <w:b/>
                <w:sz w:val="18"/>
                <w:szCs w:val="18"/>
              </w:rPr>
              <w:t>负债总计</w:t>
            </w:r>
          </w:p>
        </w:tc>
        <w:tc>
          <w:tcPr>
            <w:tcW w:w="321" w:type="pct"/>
            <w:tcBorders>
              <w:top w:val="nil"/>
              <w:left w:val="nil"/>
              <w:bottom w:val="single" w:sz="4" w:space="0" w:color="auto"/>
              <w:right w:val="single" w:sz="4" w:space="0" w:color="auto"/>
            </w:tcBorders>
            <w:shd w:val="clear" w:color="auto" w:fill="auto"/>
            <w:noWrap/>
            <w:vAlign w:val="center"/>
            <w:hideMark/>
          </w:tcPr>
          <w:p w:rsidR="00465E67" w:rsidRPr="00746B42" w:rsidRDefault="00465E67" w:rsidP="00164A04">
            <w:pPr>
              <w:jc w:val="center"/>
              <w:rPr>
                <w:b/>
                <w:sz w:val="18"/>
                <w:szCs w:val="18"/>
              </w:rPr>
            </w:pPr>
            <w:r w:rsidRPr="00746B42">
              <w:rPr>
                <w:b/>
                <w:sz w:val="18"/>
                <w:szCs w:val="18"/>
              </w:rPr>
              <w:t>13</w:t>
            </w:r>
          </w:p>
        </w:tc>
        <w:tc>
          <w:tcPr>
            <w:tcW w:w="79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27.28 </w:t>
            </w:r>
          </w:p>
        </w:tc>
        <w:tc>
          <w:tcPr>
            <w:tcW w:w="74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27.28 </w:t>
            </w:r>
          </w:p>
        </w:tc>
        <w:tc>
          <w:tcPr>
            <w:tcW w:w="66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   </w:t>
            </w:r>
          </w:p>
        </w:tc>
      </w:tr>
      <w:tr w:rsidR="00465E67" w:rsidRPr="00746B42" w:rsidTr="00164A04">
        <w:trPr>
          <w:trHeight w:val="360"/>
          <w:jc w:val="center"/>
        </w:trPr>
        <w:tc>
          <w:tcPr>
            <w:tcW w:w="1781"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E67" w:rsidRPr="00746B42" w:rsidRDefault="00465E67" w:rsidP="00164A04">
            <w:pPr>
              <w:rPr>
                <w:b/>
                <w:sz w:val="18"/>
                <w:szCs w:val="18"/>
              </w:rPr>
            </w:pPr>
            <w:r w:rsidRPr="00746B42">
              <w:rPr>
                <w:b/>
                <w:sz w:val="18"/>
                <w:szCs w:val="18"/>
              </w:rPr>
              <w:t>净资产</w:t>
            </w:r>
            <w:r w:rsidRPr="00746B42">
              <w:rPr>
                <w:b/>
                <w:sz w:val="18"/>
                <w:szCs w:val="18"/>
              </w:rPr>
              <w:t>(</w:t>
            </w:r>
            <w:r w:rsidRPr="00746B42">
              <w:rPr>
                <w:b/>
                <w:sz w:val="18"/>
                <w:szCs w:val="18"/>
              </w:rPr>
              <w:t>所有者权益</w:t>
            </w:r>
            <w:r w:rsidRPr="00746B42">
              <w:rPr>
                <w:b/>
                <w:sz w:val="18"/>
                <w:szCs w:val="18"/>
              </w:rPr>
              <w:t>)</w:t>
            </w:r>
          </w:p>
        </w:tc>
        <w:tc>
          <w:tcPr>
            <w:tcW w:w="321" w:type="pct"/>
            <w:tcBorders>
              <w:top w:val="nil"/>
              <w:left w:val="nil"/>
              <w:bottom w:val="single" w:sz="4" w:space="0" w:color="auto"/>
              <w:right w:val="single" w:sz="4" w:space="0" w:color="auto"/>
            </w:tcBorders>
            <w:shd w:val="clear" w:color="auto" w:fill="auto"/>
            <w:noWrap/>
            <w:vAlign w:val="center"/>
            <w:hideMark/>
          </w:tcPr>
          <w:p w:rsidR="00465E67" w:rsidRPr="00746B42" w:rsidRDefault="00465E67" w:rsidP="00164A04">
            <w:pPr>
              <w:jc w:val="center"/>
              <w:rPr>
                <w:b/>
                <w:sz w:val="18"/>
                <w:szCs w:val="18"/>
              </w:rPr>
            </w:pPr>
            <w:r w:rsidRPr="00746B42">
              <w:rPr>
                <w:b/>
                <w:sz w:val="18"/>
                <w:szCs w:val="18"/>
              </w:rPr>
              <w:t>14</w:t>
            </w:r>
          </w:p>
        </w:tc>
        <w:tc>
          <w:tcPr>
            <w:tcW w:w="79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697.92 </w:t>
            </w:r>
          </w:p>
        </w:tc>
        <w:tc>
          <w:tcPr>
            <w:tcW w:w="74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805.08 </w:t>
            </w:r>
          </w:p>
        </w:tc>
        <w:tc>
          <w:tcPr>
            <w:tcW w:w="666"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107.16 </w:t>
            </w:r>
          </w:p>
        </w:tc>
        <w:tc>
          <w:tcPr>
            <w:tcW w:w="690" w:type="pct"/>
            <w:tcBorders>
              <w:top w:val="nil"/>
              <w:left w:val="nil"/>
              <w:bottom w:val="single" w:sz="4" w:space="0" w:color="auto"/>
              <w:right w:val="single" w:sz="4" w:space="0" w:color="auto"/>
            </w:tcBorders>
            <w:shd w:val="clear" w:color="auto" w:fill="auto"/>
            <w:noWrap/>
            <w:vAlign w:val="center"/>
            <w:hideMark/>
          </w:tcPr>
          <w:p w:rsidR="00465E67" w:rsidRPr="00FB302F" w:rsidRDefault="00465E67" w:rsidP="00164A04">
            <w:pPr>
              <w:jc w:val="right"/>
              <w:rPr>
                <w:b/>
                <w:sz w:val="18"/>
                <w:szCs w:val="18"/>
              </w:rPr>
            </w:pPr>
            <w:r w:rsidRPr="00FB302F">
              <w:rPr>
                <w:b/>
                <w:sz w:val="18"/>
                <w:szCs w:val="18"/>
              </w:rPr>
              <w:t xml:space="preserve"> 15.35 </w:t>
            </w:r>
          </w:p>
        </w:tc>
      </w:tr>
    </w:tbl>
    <w:p w:rsidR="00465E67" w:rsidRPr="00D91118" w:rsidRDefault="00465E67" w:rsidP="00285E8B">
      <w:pPr>
        <w:pStyle w:val="zw"/>
        <w:snapToGrid w:val="0"/>
        <w:spacing w:beforeLines="50"/>
        <w:ind w:firstLineChars="200" w:firstLine="480"/>
        <w:rPr>
          <w:rFonts w:ascii="Times New Roman" w:eastAsia="宋体" w:hAnsi="Times New Roman"/>
          <w:bCs/>
          <w:kern w:val="2"/>
          <w:szCs w:val="24"/>
        </w:rPr>
      </w:pPr>
      <w:r w:rsidRPr="00D91118">
        <w:rPr>
          <w:rFonts w:ascii="Times New Roman" w:eastAsia="宋体" w:hAnsi="Times New Roman" w:hint="eastAsia"/>
          <w:bCs/>
          <w:kern w:val="2"/>
          <w:szCs w:val="24"/>
        </w:rPr>
        <w:t>重要特别事项说明：</w:t>
      </w:r>
    </w:p>
    <w:p w:rsidR="00465E67" w:rsidRDefault="00465E67" w:rsidP="00465E67">
      <w:pPr>
        <w:pStyle w:val="zw"/>
        <w:snapToGrid w:val="0"/>
        <w:ind w:firstLine="480"/>
        <w:rPr>
          <w:rFonts w:ascii="Times New Roman" w:eastAsia="宋体" w:hAnsi="Times New Roman"/>
          <w:bCs/>
          <w:kern w:val="2"/>
          <w:szCs w:val="24"/>
        </w:rPr>
      </w:pPr>
      <w:r w:rsidRPr="00A46E9D">
        <w:rPr>
          <w:rFonts w:ascii="Times New Roman" w:eastAsia="宋体" w:hAnsi="Times New Roman" w:hint="eastAsia"/>
          <w:bCs/>
          <w:kern w:val="2"/>
          <w:szCs w:val="24"/>
        </w:rPr>
        <w:t>1</w:t>
      </w:r>
      <w:r w:rsidRPr="00A46E9D">
        <w:rPr>
          <w:rFonts w:ascii="Times New Roman" w:eastAsia="宋体" w:hAnsi="Times New Roman" w:hint="eastAsia"/>
          <w:bCs/>
          <w:kern w:val="2"/>
          <w:szCs w:val="24"/>
        </w:rPr>
        <w:t>、评估人员现场查勘时发现，</w:t>
      </w:r>
      <w:proofErr w:type="gramStart"/>
      <w:r w:rsidRPr="00A46E9D">
        <w:rPr>
          <w:rFonts w:ascii="Times New Roman" w:eastAsia="宋体" w:hAnsi="Times New Roman" w:hint="eastAsia"/>
          <w:bCs/>
          <w:kern w:val="2"/>
          <w:szCs w:val="24"/>
        </w:rPr>
        <w:t>本次委估的</w:t>
      </w:r>
      <w:proofErr w:type="gramEnd"/>
      <w:r w:rsidRPr="00A46E9D">
        <w:rPr>
          <w:rFonts w:ascii="Times New Roman" w:eastAsia="宋体" w:hAnsi="Times New Roman" w:hint="eastAsia"/>
          <w:bCs/>
          <w:kern w:val="2"/>
          <w:szCs w:val="24"/>
        </w:rPr>
        <w:t>机器设备中有</w:t>
      </w:r>
      <w:r w:rsidRPr="00A46E9D">
        <w:rPr>
          <w:rFonts w:ascii="Times New Roman" w:eastAsia="宋体" w:hAnsi="Times New Roman" w:hint="eastAsia"/>
          <w:bCs/>
          <w:kern w:val="2"/>
          <w:szCs w:val="24"/>
        </w:rPr>
        <w:t>3</w:t>
      </w:r>
      <w:r w:rsidRPr="00A46E9D">
        <w:rPr>
          <w:rFonts w:ascii="Times New Roman" w:eastAsia="宋体" w:hAnsi="Times New Roman" w:hint="eastAsia"/>
          <w:bCs/>
          <w:kern w:val="2"/>
          <w:szCs w:val="24"/>
        </w:rPr>
        <w:t>个铝罐处于闲置状态，其外观局部有明显变形。由于条件有限，评估人员现场无法对铝罐进行试验是否有破损或渗漏。经询问企业管理人员了解到，这</w:t>
      </w:r>
      <w:r w:rsidRPr="00A46E9D">
        <w:rPr>
          <w:rFonts w:ascii="Times New Roman" w:eastAsia="宋体" w:hAnsi="Times New Roman" w:hint="eastAsia"/>
          <w:bCs/>
          <w:kern w:val="2"/>
          <w:szCs w:val="24"/>
        </w:rPr>
        <w:t>3</w:t>
      </w:r>
      <w:r w:rsidRPr="00A46E9D">
        <w:rPr>
          <w:rFonts w:ascii="Times New Roman" w:eastAsia="宋体" w:hAnsi="Times New Roman" w:hint="eastAsia"/>
          <w:bCs/>
          <w:kern w:val="2"/>
          <w:szCs w:val="24"/>
        </w:rPr>
        <w:t>个铝罐主要用于企业期初存储规格不达标的酒精，随着企业运行逐步走向正轨，基本不再收储不达标酒精，因此设备处于闲置，被评估单位承诺，铝罐虽有变形但并无破损或泄露，能正常使用。故此次评估按照可正常使用状态予以估值。</w:t>
      </w:r>
    </w:p>
    <w:p w:rsidR="00465E67" w:rsidRDefault="00465E67" w:rsidP="00465E67">
      <w:pPr>
        <w:pStyle w:val="zw"/>
        <w:snapToGrid w:val="0"/>
        <w:ind w:firstLine="480"/>
        <w:rPr>
          <w:rFonts w:ascii="Times New Roman" w:eastAsia="宋体" w:hAnsi="Times New Roman"/>
          <w:bCs/>
          <w:kern w:val="2"/>
          <w:szCs w:val="24"/>
        </w:rPr>
      </w:pPr>
      <w:r>
        <w:rPr>
          <w:rFonts w:ascii="Times New Roman" w:eastAsia="宋体" w:hAnsi="Times New Roman" w:hint="eastAsia"/>
          <w:bCs/>
          <w:kern w:val="2"/>
          <w:szCs w:val="24"/>
        </w:rPr>
        <w:t>2</w:t>
      </w:r>
      <w:r>
        <w:rPr>
          <w:rFonts w:ascii="Times New Roman" w:eastAsia="宋体" w:hAnsi="Times New Roman" w:hint="eastAsia"/>
          <w:bCs/>
          <w:kern w:val="2"/>
          <w:szCs w:val="24"/>
        </w:rPr>
        <w:t>、</w:t>
      </w:r>
      <w:proofErr w:type="gramStart"/>
      <w:r w:rsidRPr="00A46E9D">
        <w:rPr>
          <w:rFonts w:ascii="Times New Roman" w:eastAsia="宋体" w:hAnsi="Times New Roman" w:hint="eastAsia"/>
          <w:bCs/>
          <w:kern w:val="2"/>
          <w:szCs w:val="24"/>
        </w:rPr>
        <w:t>本次委估的</w:t>
      </w:r>
      <w:proofErr w:type="gramEnd"/>
      <w:r w:rsidRPr="00A46E9D">
        <w:rPr>
          <w:rFonts w:ascii="Times New Roman" w:eastAsia="宋体" w:hAnsi="Times New Roman" w:hint="eastAsia"/>
          <w:bCs/>
          <w:kern w:val="2"/>
          <w:szCs w:val="24"/>
        </w:rPr>
        <w:t>机器设备中</w:t>
      </w:r>
      <w:r w:rsidRPr="00A46E9D">
        <w:rPr>
          <w:rFonts w:ascii="Times New Roman" w:eastAsia="宋体" w:hAnsi="Times New Roman" w:hint="eastAsia"/>
          <w:bCs/>
          <w:kern w:val="2"/>
          <w:szCs w:val="24"/>
        </w:rPr>
        <w:t>1</w:t>
      </w:r>
      <w:r w:rsidRPr="00A46E9D">
        <w:rPr>
          <w:rFonts w:ascii="Times New Roman" w:eastAsia="宋体" w:hAnsi="Times New Roman" w:hint="eastAsia"/>
          <w:bCs/>
          <w:kern w:val="2"/>
          <w:szCs w:val="24"/>
        </w:rPr>
        <w:t>个</w:t>
      </w:r>
      <w:r w:rsidRPr="00A46E9D">
        <w:rPr>
          <w:rFonts w:ascii="Times New Roman" w:eastAsia="宋体" w:hAnsi="Times New Roman" w:hint="eastAsia"/>
          <w:bCs/>
          <w:kern w:val="2"/>
          <w:szCs w:val="24"/>
        </w:rPr>
        <w:t>15</w:t>
      </w:r>
      <w:r w:rsidRPr="00A46E9D">
        <w:rPr>
          <w:rFonts w:ascii="Times New Roman" w:eastAsia="宋体" w:hAnsi="Times New Roman" w:hint="eastAsia"/>
          <w:bCs/>
          <w:kern w:val="2"/>
          <w:szCs w:val="24"/>
        </w:rPr>
        <w:t>吨钢制计量罐处于闲置状态，评估人员了解到，该储罐主要用于计量通过铁路运输酒精的数量，因目前酒精运输方式逐步由铁路改为汽运，故该设备被闲置。因长期被闲置，该计量罐未正常做年检，检验合格证已于</w:t>
      </w:r>
      <w:r w:rsidRPr="00A46E9D">
        <w:rPr>
          <w:rFonts w:ascii="Times New Roman" w:eastAsia="宋体" w:hAnsi="Times New Roman" w:hint="eastAsia"/>
          <w:bCs/>
          <w:kern w:val="2"/>
          <w:szCs w:val="24"/>
        </w:rPr>
        <w:t>2007</w:t>
      </w:r>
      <w:r w:rsidRPr="00A46E9D">
        <w:rPr>
          <w:rFonts w:ascii="Times New Roman" w:eastAsia="宋体" w:hAnsi="Times New Roman" w:hint="eastAsia"/>
          <w:bCs/>
          <w:kern w:val="2"/>
          <w:szCs w:val="24"/>
        </w:rPr>
        <w:t>年到期。由于条件有限，评估人员现场无法对计量罐进行试验，但被评估单位承诺，该设备无损坏，能正常使用。故此次评估按照可正常使用状态予以估值。</w:t>
      </w:r>
    </w:p>
    <w:p w:rsidR="00465E67" w:rsidRDefault="00465E67" w:rsidP="00465E67">
      <w:pPr>
        <w:pStyle w:val="zw"/>
        <w:snapToGrid w:val="0"/>
        <w:ind w:firstLine="480"/>
        <w:rPr>
          <w:rFonts w:ascii="Times New Roman" w:eastAsia="宋体" w:hAnsi="Times New Roman"/>
          <w:bCs/>
          <w:kern w:val="2"/>
          <w:szCs w:val="24"/>
        </w:rPr>
      </w:pPr>
      <w:r>
        <w:rPr>
          <w:rFonts w:ascii="Times New Roman" w:eastAsia="宋体" w:hAnsi="Times New Roman" w:hint="eastAsia"/>
          <w:szCs w:val="24"/>
        </w:rPr>
        <w:t>3</w:t>
      </w:r>
      <w:r>
        <w:rPr>
          <w:rFonts w:ascii="Times New Roman" w:eastAsia="宋体" w:hAnsi="Times New Roman" w:hint="eastAsia"/>
          <w:szCs w:val="24"/>
        </w:rPr>
        <w:t>、</w:t>
      </w:r>
      <w:proofErr w:type="gramStart"/>
      <w:r w:rsidRPr="001B202C">
        <w:rPr>
          <w:rFonts w:ascii="Times New Roman" w:eastAsia="宋体" w:hAnsi="Times New Roman"/>
          <w:szCs w:val="24"/>
        </w:rPr>
        <w:t>委估房屋</w:t>
      </w:r>
      <w:proofErr w:type="gramEnd"/>
      <w:r w:rsidRPr="001B202C">
        <w:rPr>
          <w:rFonts w:ascii="Times New Roman" w:eastAsia="宋体" w:hAnsi="Times New Roman"/>
          <w:szCs w:val="24"/>
        </w:rPr>
        <w:t>建筑物共有</w:t>
      </w:r>
      <w:r>
        <w:rPr>
          <w:rFonts w:ascii="Times New Roman" w:eastAsia="宋体" w:hAnsi="Times New Roman"/>
          <w:szCs w:val="24"/>
        </w:rPr>
        <w:t>3</w:t>
      </w:r>
      <w:r w:rsidRPr="001B202C">
        <w:rPr>
          <w:rFonts w:ascii="Times New Roman" w:eastAsia="宋体" w:hAnsi="Times New Roman"/>
          <w:szCs w:val="24"/>
        </w:rPr>
        <w:t>项房屋未办理房屋所有权证，建筑面积合计</w:t>
      </w:r>
      <w:r w:rsidRPr="001B202C">
        <w:rPr>
          <w:rFonts w:ascii="Times New Roman" w:eastAsia="宋体" w:hAnsi="Times New Roman"/>
          <w:szCs w:val="24"/>
        </w:rPr>
        <w:t>120.10</w:t>
      </w:r>
      <w:r w:rsidRPr="001B202C">
        <w:rPr>
          <w:rFonts w:ascii="Times New Roman" w:eastAsia="宋体" w:hAnsi="Times New Roman"/>
          <w:szCs w:val="24"/>
        </w:rPr>
        <w:t>平方米。被评估单位承诺，</w:t>
      </w:r>
      <w:r>
        <w:rPr>
          <w:rFonts w:ascii="Times New Roman" w:eastAsia="宋体" w:hAnsi="Times New Roman"/>
          <w:szCs w:val="24"/>
        </w:rPr>
        <w:t>这些</w:t>
      </w:r>
      <w:r w:rsidRPr="001B202C">
        <w:rPr>
          <w:rFonts w:ascii="Times New Roman" w:eastAsia="宋体" w:hAnsi="Times New Roman"/>
          <w:szCs w:val="24"/>
        </w:rPr>
        <w:t>房屋建筑物均为被评估单位出资兴建，资产取得来源合法，拥有完全产权，不存在其他处置、留存、收益的限制，不存在权属纠纷</w:t>
      </w:r>
      <w:r>
        <w:rPr>
          <w:rFonts w:ascii="Times New Roman" w:eastAsia="宋体" w:hAnsi="Times New Roman" w:hint="eastAsia"/>
          <w:szCs w:val="24"/>
        </w:rPr>
        <w:t>。</w:t>
      </w:r>
    </w:p>
    <w:p w:rsidR="00465E67" w:rsidRPr="00250847" w:rsidRDefault="00465E67" w:rsidP="00465E67">
      <w:pPr>
        <w:pStyle w:val="a7"/>
        <w:autoSpaceDE/>
        <w:autoSpaceDN/>
        <w:adjustRightInd/>
        <w:spacing w:before="0" w:line="360" w:lineRule="auto"/>
        <w:ind w:firstLineChars="200" w:firstLine="480"/>
        <w:jc w:val="both"/>
        <w:textAlignment w:val="auto"/>
        <w:rPr>
          <w:rFonts w:ascii="Times New Roman" w:eastAsia="宋体"/>
          <w:bCs/>
          <w:kern w:val="2"/>
          <w:sz w:val="24"/>
          <w:szCs w:val="24"/>
        </w:rPr>
      </w:pPr>
      <w:r>
        <w:rPr>
          <w:rFonts w:ascii="Times New Roman" w:eastAsia="宋体"/>
          <w:bCs/>
          <w:kern w:val="2"/>
          <w:sz w:val="24"/>
          <w:szCs w:val="24"/>
        </w:rPr>
        <w:t>4</w:t>
      </w:r>
      <w:r w:rsidRPr="00250847">
        <w:rPr>
          <w:rFonts w:ascii="Times New Roman" w:eastAsia="宋体" w:hint="eastAsia"/>
          <w:bCs/>
          <w:kern w:val="2"/>
          <w:sz w:val="24"/>
          <w:szCs w:val="24"/>
        </w:rPr>
        <w:t>、以下</w:t>
      </w:r>
      <w:r w:rsidRPr="00250847">
        <w:rPr>
          <w:rFonts w:ascii="Times New Roman" w:eastAsia="宋体"/>
          <w:bCs/>
          <w:kern w:val="2"/>
          <w:sz w:val="24"/>
          <w:szCs w:val="24"/>
        </w:rPr>
        <w:t>纳入评估范围内的资产</w:t>
      </w:r>
      <w:r w:rsidRPr="00250847">
        <w:rPr>
          <w:rFonts w:ascii="Times New Roman" w:eastAsia="宋体" w:hint="eastAsia"/>
          <w:bCs/>
          <w:kern w:val="2"/>
          <w:sz w:val="24"/>
          <w:szCs w:val="24"/>
        </w:rPr>
        <w:t>属于账外资产</w:t>
      </w:r>
      <w:r w:rsidRPr="00250847">
        <w:rPr>
          <w:rFonts w:ascii="Times New Roman" w:eastAsia="宋体"/>
          <w:bCs/>
          <w:kern w:val="2"/>
          <w:sz w:val="24"/>
          <w:szCs w:val="24"/>
        </w:rPr>
        <w:t>：</w:t>
      </w:r>
    </w:p>
    <w:tbl>
      <w:tblPr>
        <w:tblW w:w="9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8"/>
        <w:gridCol w:w="1119"/>
        <w:gridCol w:w="1651"/>
        <w:gridCol w:w="1885"/>
        <w:gridCol w:w="758"/>
        <w:gridCol w:w="758"/>
        <w:gridCol w:w="1119"/>
        <w:gridCol w:w="1119"/>
      </w:tblGrid>
      <w:tr w:rsidR="00465E67" w:rsidRPr="00250847" w:rsidTr="00164A04">
        <w:trPr>
          <w:trHeight w:val="700"/>
          <w:tblHeader/>
          <w:jc w:val="center"/>
        </w:trPr>
        <w:tc>
          <w:tcPr>
            <w:tcW w:w="758" w:type="dxa"/>
            <w:shd w:val="clear" w:color="auto" w:fill="auto"/>
            <w:vAlign w:val="center"/>
          </w:tcPr>
          <w:p w:rsidR="00465E67" w:rsidRPr="00250847" w:rsidRDefault="00465E67" w:rsidP="00164A04">
            <w:pPr>
              <w:snapToGrid w:val="0"/>
              <w:spacing w:line="360" w:lineRule="auto"/>
              <w:jc w:val="center"/>
              <w:rPr>
                <w:b/>
                <w:bCs/>
                <w:sz w:val="18"/>
                <w:szCs w:val="18"/>
              </w:rPr>
            </w:pPr>
            <w:r w:rsidRPr="00250847">
              <w:rPr>
                <w:rFonts w:hint="eastAsia"/>
                <w:b/>
                <w:bCs/>
                <w:sz w:val="18"/>
                <w:szCs w:val="18"/>
              </w:rPr>
              <w:lastRenderedPageBreak/>
              <w:t>序号</w:t>
            </w:r>
          </w:p>
        </w:tc>
        <w:tc>
          <w:tcPr>
            <w:tcW w:w="1119" w:type="dxa"/>
            <w:shd w:val="clear" w:color="auto" w:fill="auto"/>
            <w:vAlign w:val="center"/>
            <w:hideMark/>
          </w:tcPr>
          <w:p w:rsidR="00465E67" w:rsidRPr="00250847" w:rsidRDefault="00465E67" w:rsidP="00164A04">
            <w:pPr>
              <w:snapToGrid w:val="0"/>
              <w:spacing w:line="360" w:lineRule="auto"/>
              <w:rPr>
                <w:b/>
                <w:bCs/>
                <w:sz w:val="18"/>
                <w:szCs w:val="18"/>
              </w:rPr>
            </w:pPr>
            <w:r w:rsidRPr="00250847">
              <w:rPr>
                <w:rFonts w:hint="eastAsia"/>
                <w:b/>
                <w:bCs/>
                <w:sz w:val="18"/>
                <w:szCs w:val="18"/>
              </w:rPr>
              <w:t>设备名称</w:t>
            </w:r>
          </w:p>
        </w:tc>
        <w:tc>
          <w:tcPr>
            <w:tcW w:w="1651" w:type="dxa"/>
            <w:shd w:val="clear" w:color="auto" w:fill="auto"/>
            <w:vAlign w:val="center"/>
            <w:hideMark/>
          </w:tcPr>
          <w:p w:rsidR="00465E67" w:rsidRPr="00250847" w:rsidRDefault="00465E67" w:rsidP="00164A04">
            <w:pPr>
              <w:snapToGrid w:val="0"/>
              <w:spacing w:line="360" w:lineRule="auto"/>
              <w:jc w:val="center"/>
              <w:rPr>
                <w:b/>
                <w:bCs/>
                <w:sz w:val="18"/>
                <w:szCs w:val="18"/>
              </w:rPr>
            </w:pPr>
            <w:r w:rsidRPr="00250847">
              <w:rPr>
                <w:rFonts w:hint="eastAsia"/>
                <w:b/>
                <w:bCs/>
                <w:sz w:val="18"/>
                <w:szCs w:val="18"/>
              </w:rPr>
              <w:t>规格型号</w:t>
            </w:r>
          </w:p>
        </w:tc>
        <w:tc>
          <w:tcPr>
            <w:tcW w:w="1885" w:type="dxa"/>
            <w:shd w:val="clear" w:color="auto" w:fill="auto"/>
            <w:vAlign w:val="center"/>
            <w:hideMark/>
          </w:tcPr>
          <w:p w:rsidR="00465E67" w:rsidRPr="00250847" w:rsidRDefault="00465E67" w:rsidP="00164A04">
            <w:pPr>
              <w:snapToGrid w:val="0"/>
              <w:spacing w:line="360" w:lineRule="auto"/>
              <w:jc w:val="center"/>
              <w:rPr>
                <w:b/>
                <w:bCs/>
                <w:sz w:val="18"/>
                <w:szCs w:val="18"/>
              </w:rPr>
            </w:pPr>
            <w:r w:rsidRPr="00250847">
              <w:rPr>
                <w:rFonts w:hint="eastAsia"/>
                <w:b/>
                <w:bCs/>
                <w:sz w:val="18"/>
                <w:szCs w:val="18"/>
              </w:rPr>
              <w:t>生产厂家</w:t>
            </w:r>
          </w:p>
        </w:tc>
        <w:tc>
          <w:tcPr>
            <w:tcW w:w="758" w:type="dxa"/>
            <w:shd w:val="clear" w:color="auto" w:fill="auto"/>
            <w:vAlign w:val="center"/>
            <w:hideMark/>
          </w:tcPr>
          <w:p w:rsidR="00465E67" w:rsidRPr="00250847" w:rsidRDefault="00465E67" w:rsidP="00164A04">
            <w:pPr>
              <w:snapToGrid w:val="0"/>
              <w:spacing w:line="360" w:lineRule="auto"/>
              <w:jc w:val="center"/>
              <w:rPr>
                <w:b/>
                <w:bCs/>
                <w:sz w:val="18"/>
                <w:szCs w:val="18"/>
              </w:rPr>
            </w:pPr>
            <w:r w:rsidRPr="00250847">
              <w:rPr>
                <w:rFonts w:hint="eastAsia"/>
                <w:b/>
                <w:bCs/>
                <w:sz w:val="18"/>
                <w:szCs w:val="18"/>
              </w:rPr>
              <w:t>计量</w:t>
            </w:r>
          </w:p>
          <w:p w:rsidR="00465E67" w:rsidRPr="00250847" w:rsidRDefault="00465E67" w:rsidP="00164A04">
            <w:pPr>
              <w:snapToGrid w:val="0"/>
              <w:spacing w:line="360" w:lineRule="auto"/>
              <w:jc w:val="center"/>
              <w:rPr>
                <w:b/>
                <w:bCs/>
                <w:sz w:val="18"/>
                <w:szCs w:val="18"/>
              </w:rPr>
            </w:pPr>
            <w:r w:rsidRPr="00250847">
              <w:rPr>
                <w:rFonts w:hint="eastAsia"/>
                <w:b/>
                <w:bCs/>
                <w:sz w:val="18"/>
                <w:szCs w:val="18"/>
              </w:rPr>
              <w:t>单位</w:t>
            </w:r>
          </w:p>
        </w:tc>
        <w:tc>
          <w:tcPr>
            <w:tcW w:w="758" w:type="dxa"/>
            <w:shd w:val="clear" w:color="auto" w:fill="auto"/>
            <w:vAlign w:val="center"/>
            <w:hideMark/>
          </w:tcPr>
          <w:p w:rsidR="00465E67" w:rsidRPr="00250847" w:rsidRDefault="00465E67" w:rsidP="00164A04">
            <w:pPr>
              <w:snapToGrid w:val="0"/>
              <w:spacing w:line="360" w:lineRule="auto"/>
              <w:jc w:val="center"/>
              <w:rPr>
                <w:b/>
                <w:bCs/>
                <w:sz w:val="18"/>
                <w:szCs w:val="18"/>
              </w:rPr>
            </w:pPr>
            <w:r w:rsidRPr="00250847">
              <w:rPr>
                <w:rFonts w:hint="eastAsia"/>
                <w:b/>
                <w:bCs/>
                <w:sz w:val="18"/>
                <w:szCs w:val="18"/>
              </w:rPr>
              <w:t>数量</w:t>
            </w:r>
          </w:p>
        </w:tc>
        <w:tc>
          <w:tcPr>
            <w:tcW w:w="1119" w:type="dxa"/>
            <w:shd w:val="clear" w:color="auto" w:fill="auto"/>
            <w:vAlign w:val="center"/>
            <w:hideMark/>
          </w:tcPr>
          <w:p w:rsidR="00465E67" w:rsidRPr="00250847" w:rsidRDefault="00465E67" w:rsidP="00164A04">
            <w:pPr>
              <w:snapToGrid w:val="0"/>
              <w:spacing w:line="360" w:lineRule="auto"/>
              <w:jc w:val="center"/>
              <w:rPr>
                <w:b/>
                <w:bCs/>
                <w:sz w:val="18"/>
                <w:szCs w:val="18"/>
              </w:rPr>
            </w:pPr>
            <w:r w:rsidRPr="00250847">
              <w:rPr>
                <w:rFonts w:hint="eastAsia"/>
                <w:b/>
                <w:bCs/>
                <w:sz w:val="18"/>
                <w:szCs w:val="18"/>
              </w:rPr>
              <w:t>购置日期</w:t>
            </w:r>
          </w:p>
        </w:tc>
        <w:tc>
          <w:tcPr>
            <w:tcW w:w="1119" w:type="dxa"/>
            <w:shd w:val="clear" w:color="auto" w:fill="auto"/>
            <w:vAlign w:val="center"/>
            <w:hideMark/>
          </w:tcPr>
          <w:p w:rsidR="00465E67" w:rsidRPr="00250847" w:rsidRDefault="00465E67" w:rsidP="00164A04">
            <w:pPr>
              <w:snapToGrid w:val="0"/>
              <w:spacing w:line="360" w:lineRule="auto"/>
              <w:jc w:val="center"/>
              <w:rPr>
                <w:b/>
                <w:bCs/>
                <w:sz w:val="18"/>
                <w:szCs w:val="18"/>
              </w:rPr>
            </w:pPr>
            <w:r w:rsidRPr="00250847">
              <w:rPr>
                <w:rFonts w:hint="eastAsia"/>
                <w:b/>
                <w:bCs/>
                <w:sz w:val="18"/>
                <w:szCs w:val="18"/>
              </w:rPr>
              <w:t>启用日期</w:t>
            </w:r>
          </w:p>
        </w:tc>
      </w:tr>
      <w:tr w:rsidR="00465E67" w:rsidRPr="00250847" w:rsidTr="00164A04">
        <w:trPr>
          <w:trHeight w:val="300"/>
          <w:jc w:val="center"/>
        </w:trPr>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1</w:t>
            </w:r>
          </w:p>
        </w:tc>
        <w:tc>
          <w:tcPr>
            <w:tcW w:w="1119" w:type="dxa"/>
            <w:shd w:val="clear" w:color="auto" w:fill="auto"/>
            <w:vAlign w:val="center"/>
          </w:tcPr>
          <w:p w:rsidR="00465E67" w:rsidRPr="00250847" w:rsidRDefault="00465E67" w:rsidP="00164A04">
            <w:pPr>
              <w:rPr>
                <w:sz w:val="18"/>
                <w:szCs w:val="18"/>
              </w:rPr>
            </w:pPr>
            <w:r w:rsidRPr="00250847">
              <w:rPr>
                <w:rFonts w:hint="eastAsia"/>
                <w:sz w:val="18"/>
                <w:szCs w:val="18"/>
              </w:rPr>
              <w:t>监控设备</w:t>
            </w:r>
          </w:p>
        </w:tc>
        <w:tc>
          <w:tcPr>
            <w:tcW w:w="1651" w:type="dxa"/>
            <w:shd w:val="clear" w:color="auto" w:fill="auto"/>
          </w:tcPr>
          <w:p w:rsidR="00465E67" w:rsidRPr="00250847" w:rsidRDefault="00465E67" w:rsidP="00164A04">
            <w:pPr>
              <w:rPr>
                <w:sz w:val="18"/>
                <w:szCs w:val="18"/>
              </w:rPr>
            </w:pPr>
          </w:p>
        </w:tc>
        <w:tc>
          <w:tcPr>
            <w:tcW w:w="1885" w:type="dxa"/>
            <w:shd w:val="clear" w:color="auto" w:fill="auto"/>
          </w:tcPr>
          <w:p w:rsidR="00465E67" w:rsidRPr="00250847" w:rsidRDefault="00465E67" w:rsidP="00164A04">
            <w:pPr>
              <w:rPr>
                <w:sz w:val="18"/>
                <w:szCs w:val="18"/>
              </w:rPr>
            </w:pPr>
            <w:r w:rsidRPr="00250847">
              <w:rPr>
                <w:rFonts w:hint="eastAsia"/>
                <w:sz w:val="18"/>
                <w:szCs w:val="18"/>
              </w:rPr>
              <w:t>昆明华旺科技有限公司</w:t>
            </w:r>
          </w:p>
        </w:tc>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套</w:t>
            </w:r>
          </w:p>
        </w:tc>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1</w:t>
            </w:r>
          </w:p>
        </w:tc>
        <w:tc>
          <w:tcPr>
            <w:tcW w:w="1119"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2019-04</w:t>
            </w:r>
          </w:p>
        </w:tc>
        <w:tc>
          <w:tcPr>
            <w:tcW w:w="1119"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2019-04</w:t>
            </w:r>
          </w:p>
        </w:tc>
      </w:tr>
      <w:tr w:rsidR="00465E67" w:rsidRPr="00250847" w:rsidTr="00164A04">
        <w:trPr>
          <w:trHeight w:val="300"/>
          <w:jc w:val="center"/>
        </w:trPr>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2</w:t>
            </w:r>
          </w:p>
        </w:tc>
        <w:tc>
          <w:tcPr>
            <w:tcW w:w="1119" w:type="dxa"/>
            <w:shd w:val="clear" w:color="auto" w:fill="auto"/>
            <w:vAlign w:val="center"/>
          </w:tcPr>
          <w:p w:rsidR="00465E67" w:rsidRPr="00250847" w:rsidRDefault="00465E67" w:rsidP="00164A04">
            <w:pPr>
              <w:rPr>
                <w:sz w:val="18"/>
                <w:szCs w:val="18"/>
              </w:rPr>
            </w:pPr>
            <w:r w:rsidRPr="00250847">
              <w:rPr>
                <w:rFonts w:hint="eastAsia"/>
                <w:sz w:val="18"/>
                <w:szCs w:val="18"/>
              </w:rPr>
              <w:t>办公家具</w:t>
            </w:r>
          </w:p>
        </w:tc>
        <w:tc>
          <w:tcPr>
            <w:tcW w:w="1651" w:type="dxa"/>
            <w:shd w:val="clear" w:color="auto" w:fill="auto"/>
          </w:tcPr>
          <w:p w:rsidR="00465E67" w:rsidRPr="00250847" w:rsidRDefault="00465E67" w:rsidP="00164A04">
            <w:pPr>
              <w:rPr>
                <w:sz w:val="18"/>
                <w:szCs w:val="18"/>
              </w:rPr>
            </w:pPr>
            <w:r w:rsidRPr="00250847">
              <w:rPr>
                <w:rFonts w:hint="eastAsia"/>
                <w:sz w:val="18"/>
                <w:szCs w:val="18"/>
              </w:rPr>
              <w:t>办公桌椅、会议桌、沙发、文件柜、铁床</w:t>
            </w:r>
          </w:p>
        </w:tc>
        <w:tc>
          <w:tcPr>
            <w:tcW w:w="1885" w:type="dxa"/>
            <w:shd w:val="clear" w:color="auto" w:fill="auto"/>
          </w:tcPr>
          <w:p w:rsidR="00465E67" w:rsidRPr="00250847" w:rsidRDefault="00465E67" w:rsidP="00164A04">
            <w:pPr>
              <w:rPr>
                <w:sz w:val="18"/>
                <w:szCs w:val="18"/>
              </w:rPr>
            </w:pPr>
            <w:r w:rsidRPr="00250847">
              <w:rPr>
                <w:rFonts w:hint="eastAsia"/>
                <w:sz w:val="18"/>
                <w:szCs w:val="18"/>
              </w:rPr>
              <w:t>祥云县鹏翔办公家具精品城</w:t>
            </w:r>
          </w:p>
        </w:tc>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批</w:t>
            </w:r>
          </w:p>
        </w:tc>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1</w:t>
            </w:r>
          </w:p>
        </w:tc>
        <w:tc>
          <w:tcPr>
            <w:tcW w:w="1119"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2018-11</w:t>
            </w:r>
          </w:p>
        </w:tc>
        <w:tc>
          <w:tcPr>
            <w:tcW w:w="1119"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2018-11</w:t>
            </w:r>
          </w:p>
        </w:tc>
      </w:tr>
      <w:tr w:rsidR="00465E67" w:rsidRPr="00250847" w:rsidTr="00164A04">
        <w:trPr>
          <w:trHeight w:val="300"/>
          <w:jc w:val="center"/>
        </w:trPr>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3</w:t>
            </w:r>
          </w:p>
        </w:tc>
        <w:tc>
          <w:tcPr>
            <w:tcW w:w="1119" w:type="dxa"/>
            <w:shd w:val="clear" w:color="auto" w:fill="auto"/>
            <w:vAlign w:val="center"/>
          </w:tcPr>
          <w:p w:rsidR="00465E67" w:rsidRPr="00250847" w:rsidRDefault="00465E67" w:rsidP="00164A04">
            <w:pPr>
              <w:rPr>
                <w:sz w:val="18"/>
                <w:szCs w:val="18"/>
              </w:rPr>
            </w:pPr>
            <w:r w:rsidRPr="00250847">
              <w:rPr>
                <w:rFonts w:hint="eastAsia"/>
                <w:sz w:val="18"/>
                <w:szCs w:val="18"/>
              </w:rPr>
              <w:t>打印机</w:t>
            </w:r>
          </w:p>
        </w:tc>
        <w:tc>
          <w:tcPr>
            <w:tcW w:w="1651" w:type="dxa"/>
            <w:shd w:val="clear" w:color="auto" w:fill="auto"/>
          </w:tcPr>
          <w:p w:rsidR="00465E67" w:rsidRPr="00250847" w:rsidRDefault="00465E67" w:rsidP="00164A04">
            <w:pPr>
              <w:rPr>
                <w:sz w:val="18"/>
                <w:szCs w:val="18"/>
              </w:rPr>
            </w:pPr>
            <w:r w:rsidRPr="00250847">
              <w:rPr>
                <w:rFonts w:hint="eastAsia"/>
                <w:sz w:val="18"/>
                <w:szCs w:val="18"/>
              </w:rPr>
              <w:t>HP126A</w:t>
            </w:r>
            <w:r w:rsidRPr="00250847">
              <w:rPr>
                <w:rFonts w:hint="eastAsia"/>
                <w:sz w:val="18"/>
                <w:szCs w:val="18"/>
              </w:rPr>
              <w:t>、</w:t>
            </w:r>
            <w:r w:rsidRPr="00250847">
              <w:rPr>
                <w:rFonts w:hint="eastAsia"/>
                <w:sz w:val="18"/>
                <w:szCs w:val="18"/>
              </w:rPr>
              <w:t>LQ-635KII</w:t>
            </w:r>
            <w:r w:rsidRPr="00250847">
              <w:rPr>
                <w:rFonts w:hint="eastAsia"/>
                <w:sz w:val="18"/>
                <w:szCs w:val="18"/>
              </w:rPr>
              <w:t>、</w:t>
            </w:r>
            <w:r w:rsidRPr="00250847">
              <w:rPr>
                <w:rFonts w:hint="eastAsia"/>
                <w:sz w:val="18"/>
                <w:szCs w:val="18"/>
              </w:rPr>
              <w:t>M132A</w:t>
            </w:r>
          </w:p>
        </w:tc>
        <w:tc>
          <w:tcPr>
            <w:tcW w:w="1885" w:type="dxa"/>
            <w:shd w:val="clear" w:color="auto" w:fill="auto"/>
          </w:tcPr>
          <w:p w:rsidR="00465E67" w:rsidRPr="00250847" w:rsidRDefault="00465E67" w:rsidP="00164A04">
            <w:pPr>
              <w:rPr>
                <w:sz w:val="18"/>
                <w:szCs w:val="18"/>
              </w:rPr>
            </w:pPr>
            <w:r w:rsidRPr="00250847">
              <w:rPr>
                <w:rFonts w:hint="eastAsia"/>
                <w:sz w:val="18"/>
                <w:szCs w:val="18"/>
              </w:rPr>
              <w:t>大理市湘龙电脑经营部</w:t>
            </w:r>
          </w:p>
        </w:tc>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台</w:t>
            </w:r>
          </w:p>
        </w:tc>
        <w:tc>
          <w:tcPr>
            <w:tcW w:w="758"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3</w:t>
            </w:r>
          </w:p>
        </w:tc>
        <w:tc>
          <w:tcPr>
            <w:tcW w:w="1119"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2018-11</w:t>
            </w:r>
          </w:p>
        </w:tc>
        <w:tc>
          <w:tcPr>
            <w:tcW w:w="1119" w:type="dxa"/>
            <w:shd w:val="clear" w:color="auto" w:fill="auto"/>
            <w:vAlign w:val="center"/>
          </w:tcPr>
          <w:p w:rsidR="00465E67" w:rsidRPr="00250847" w:rsidRDefault="00465E67" w:rsidP="00164A04">
            <w:pPr>
              <w:jc w:val="center"/>
              <w:rPr>
                <w:sz w:val="18"/>
                <w:szCs w:val="18"/>
              </w:rPr>
            </w:pPr>
            <w:r w:rsidRPr="00250847">
              <w:rPr>
                <w:rFonts w:hint="eastAsia"/>
                <w:sz w:val="18"/>
                <w:szCs w:val="18"/>
              </w:rPr>
              <w:t>2018-11</w:t>
            </w:r>
          </w:p>
        </w:tc>
      </w:tr>
    </w:tbl>
    <w:p w:rsidR="00465E67" w:rsidRPr="00D91118" w:rsidRDefault="00465E67" w:rsidP="00285E8B">
      <w:pPr>
        <w:pStyle w:val="zw"/>
        <w:snapToGrid w:val="0"/>
        <w:spacing w:beforeLines="50"/>
        <w:ind w:firstLineChars="200" w:firstLine="480"/>
        <w:rPr>
          <w:rFonts w:ascii="Times New Roman" w:eastAsia="宋体" w:hAnsi="Times New Roman"/>
          <w:bCs/>
          <w:kern w:val="2"/>
          <w:szCs w:val="24"/>
        </w:rPr>
      </w:pPr>
      <w:r w:rsidRPr="00250847">
        <w:rPr>
          <w:rFonts w:ascii="Times New Roman" w:eastAsia="宋体" w:hAnsi="Times New Roman" w:hint="eastAsia"/>
          <w:kern w:val="2"/>
          <w:szCs w:val="24"/>
        </w:rPr>
        <w:t>对于账外资产，</w:t>
      </w:r>
      <w:r w:rsidRPr="00250847">
        <w:rPr>
          <w:rFonts w:ascii="Times New Roman" w:eastAsia="宋体" w:hAnsi="Times New Roman"/>
          <w:kern w:val="2"/>
          <w:szCs w:val="24"/>
        </w:rPr>
        <w:t>评估人员</w:t>
      </w:r>
      <w:r w:rsidRPr="00250847">
        <w:rPr>
          <w:rFonts w:ascii="Times New Roman" w:eastAsia="宋体" w:hAnsi="Times New Roman" w:hint="eastAsia"/>
          <w:kern w:val="2"/>
          <w:szCs w:val="24"/>
        </w:rPr>
        <w:t>在核查权属后，根据资产的各自特点，并入相关资产科目中进行评估。</w:t>
      </w:r>
    </w:p>
    <w:p w:rsidR="00465E67" w:rsidRPr="00D91118" w:rsidRDefault="00465E67" w:rsidP="00465E67">
      <w:pPr>
        <w:pStyle w:val="a3"/>
        <w:spacing w:line="360" w:lineRule="auto"/>
        <w:ind w:firstLineChars="200" w:firstLine="480"/>
        <w:rPr>
          <w:rFonts w:ascii="Times New Roman"/>
          <w:sz w:val="24"/>
        </w:rPr>
      </w:pPr>
      <w:proofErr w:type="gramStart"/>
      <w:r w:rsidRPr="00D91118">
        <w:rPr>
          <w:rFonts w:ascii="Times New Roman"/>
          <w:sz w:val="24"/>
        </w:rPr>
        <w:t>本资产</w:t>
      </w:r>
      <w:proofErr w:type="gramEnd"/>
      <w:r w:rsidRPr="00D91118">
        <w:rPr>
          <w:rFonts w:ascii="Times New Roman"/>
          <w:sz w:val="24"/>
        </w:rPr>
        <w:t>评估报告仅为资产评估报告中描述的经济行为提供价值参考依据，评估结论的使用有效期原则上为自评估基准日起一年。如果资产状况、市场状况与评估基准</w:t>
      </w:r>
      <w:proofErr w:type="gramStart"/>
      <w:r w:rsidRPr="00D91118">
        <w:rPr>
          <w:rFonts w:ascii="Times New Roman"/>
          <w:sz w:val="24"/>
        </w:rPr>
        <w:t>日相关</w:t>
      </w:r>
      <w:proofErr w:type="gramEnd"/>
      <w:r w:rsidRPr="00D91118">
        <w:rPr>
          <w:rFonts w:ascii="Times New Roman"/>
          <w:sz w:val="24"/>
        </w:rPr>
        <w:t>状况相比发生重大变化，委托方应当委托评估机构执行评估更新业务或重新评估。</w:t>
      </w:r>
    </w:p>
    <w:p w:rsidR="00465E67" w:rsidRPr="00D91118" w:rsidRDefault="00465E67" w:rsidP="00465E67">
      <w:pPr>
        <w:spacing w:line="360" w:lineRule="auto"/>
        <w:ind w:firstLineChars="200" w:firstLine="480"/>
        <w:rPr>
          <w:sz w:val="24"/>
        </w:rPr>
      </w:pPr>
      <w:r w:rsidRPr="00D91118">
        <w:rPr>
          <w:sz w:val="24"/>
        </w:rPr>
        <w:t>以上内容摘自资产评估报告正文，欲了解本评估业务的详细情况和正确理解评估结论，应当阅读资产评估报告正文。</w:t>
      </w:r>
    </w:p>
    <w:p w:rsidR="00DB4D52" w:rsidRPr="00465E67" w:rsidRDefault="00DB4D52" w:rsidP="00465E67"/>
    <w:sectPr w:rsidR="00DB4D52" w:rsidRPr="00465E67" w:rsidSect="009317D0">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3230" w:rsidRDefault="00423230" w:rsidP="00AD7AA7">
      <w:r>
        <w:separator/>
      </w:r>
    </w:p>
  </w:endnote>
  <w:endnote w:type="continuationSeparator" w:id="1">
    <w:p w:rsidR="00423230" w:rsidRDefault="00423230" w:rsidP="00AD7A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幼圆">
    <w:panose1 w:val="02010509060101010101"/>
    <w:charset w:val="86"/>
    <w:family w:val="modern"/>
    <w:pitch w:val="fixed"/>
    <w:sig w:usb0="00000001" w:usb1="080E0000" w:usb2="00000010" w:usb3="00000000" w:csb0="00040000"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3230" w:rsidRDefault="00423230" w:rsidP="00AD7AA7">
      <w:r>
        <w:separator/>
      </w:r>
    </w:p>
  </w:footnote>
  <w:footnote w:type="continuationSeparator" w:id="1">
    <w:p w:rsidR="00423230" w:rsidRDefault="00423230" w:rsidP="00AD7A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6ABF60"/>
    <w:multiLevelType w:val="singleLevel"/>
    <w:tmpl w:val="846ABF6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6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52A6"/>
    <w:rsid w:val="000E16F8"/>
    <w:rsid w:val="00285E8B"/>
    <w:rsid w:val="00423230"/>
    <w:rsid w:val="00465E67"/>
    <w:rsid w:val="004B142D"/>
    <w:rsid w:val="006812F9"/>
    <w:rsid w:val="007A2548"/>
    <w:rsid w:val="008B5548"/>
    <w:rsid w:val="008D52A6"/>
    <w:rsid w:val="009317D0"/>
    <w:rsid w:val="00AD7AA7"/>
    <w:rsid w:val="00DB4D52"/>
    <w:rsid w:val="00EB0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 w:type="paragraph" w:styleId="a7">
    <w:name w:val="Body Text Indent"/>
    <w:basedOn w:val="a"/>
    <w:link w:val="Char11"/>
    <w:qFormat/>
    <w:rsid w:val="00465E67"/>
    <w:pPr>
      <w:autoSpaceDE w:val="0"/>
      <w:autoSpaceDN w:val="0"/>
      <w:adjustRightInd w:val="0"/>
      <w:spacing w:before="120" w:line="312" w:lineRule="atLeast"/>
      <w:jc w:val="left"/>
      <w:textAlignment w:val="baseline"/>
    </w:pPr>
    <w:rPr>
      <w:rFonts w:ascii="楷体_GB2312" w:eastAsia="楷体_GB2312"/>
      <w:kern w:val="0"/>
      <w:sz w:val="28"/>
      <w:szCs w:val="20"/>
    </w:rPr>
  </w:style>
  <w:style w:type="character" w:customStyle="1" w:styleId="Char2">
    <w:name w:val="正文文本缩进 Char"/>
    <w:basedOn w:val="a0"/>
    <w:link w:val="a7"/>
    <w:uiPriority w:val="99"/>
    <w:semiHidden/>
    <w:rsid w:val="00465E67"/>
    <w:rPr>
      <w:rFonts w:ascii="Times New Roman" w:eastAsia="宋体" w:hAnsi="Times New Roman" w:cs="Times New Roman"/>
      <w:szCs w:val="24"/>
    </w:rPr>
  </w:style>
  <w:style w:type="paragraph" w:customStyle="1" w:styleId="zw">
    <w:name w:val="zw"/>
    <w:basedOn w:val="a"/>
    <w:link w:val="zwChar"/>
    <w:qFormat/>
    <w:rsid w:val="00465E67"/>
    <w:pPr>
      <w:autoSpaceDE w:val="0"/>
      <w:autoSpaceDN w:val="0"/>
      <w:adjustRightInd w:val="0"/>
      <w:spacing w:line="360" w:lineRule="auto"/>
      <w:ind w:firstLine="482"/>
      <w:textAlignment w:val="bottom"/>
    </w:pPr>
    <w:rPr>
      <w:rFonts w:ascii="Arial Narrow" w:eastAsia="幼圆" w:hAnsi="Arial Narrow"/>
      <w:kern w:val="0"/>
      <w:sz w:val="24"/>
      <w:szCs w:val="20"/>
    </w:rPr>
  </w:style>
  <w:style w:type="character" w:customStyle="1" w:styleId="zwChar">
    <w:name w:val="zw Char"/>
    <w:link w:val="zw"/>
    <w:qFormat/>
    <w:rsid w:val="00465E67"/>
    <w:rPr>
      <w:rFonts w:ascii="Arial Narrow" w:eastAsia="幼圆" w:hAnsi="Arial Narrow" w:cs="Times New Roman"/>
      <w:kern w:val="0"/>
      <w:sz w:val="24"/>
      <w:szCs w:val="20"/>
    </w:rPr>
  </w:style>
  <w:style w:type="character" w:customStyle="1" w:styleId="Char11">
    <w:name w:val="正文文本缩进 Char1"/>
    <w:link w:val="a7"/>
    <w:rsid w:val="00465E67"/>
    <w:rPr>
      <w:rFonts w:ascii="楷体_GB2312" w:eastAsia="楷体_GB2312" w:hAnsi="Times New Roman" w:cs="Times New Roman"/>
      <w:kern w:val="0"/>
      <w:sz w:val="28"/>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308</Words>
  <Characters>1760</Characters>
  <Application>Microsoft Office Word</Application>
  <DocSecurity>0</DocSecurity>
  <Lines>14</Lines>
  <Paragraphs>4</Paragraphs>
  <ScaleCrop>false</ScaleCrop>
  <Company/>
  <LinksUpToDate>false</LinksUpToDate>
  <CharactersWithSpaces>2064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董丽彬</cp:lastModifiedBy>
  <cp:revision>4</cp:revision>
  <dcterms:created xsi:type="dcterms:W3CDTF">2019-12-24T01:24:00Z</dcterms:created>
  <dcterms:modified xsi:type="dcterms:W3CDTF">2020-05-27T03:42:00Z</dcterms:modified>
</cp:coreProperties>
</file>